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B02FC" w14:textId="115B3384" w:rsidR="007733FB" w:rsidRPr="005D218F" w:rsidRDefault="001F1E24" w:rsidP="007733FB">
      <w:pPr>
        <w:ind w:left="3600" w:firstLine="720"/>
        <w:jc w:val="right"/>
        <w:rPr>
          <w:rFonts w:ascii="Garamond" w:hAnsi="Garamond"/>
          <w:sz w:val="24"/>
          <w:lang w:val="sk-SK"/>
        </w:rPr>
      </w:pPr>
      <w:r w:rsidRPr="005D218F">
        <w:rPr>
          <w:rFonts w:ascii="Garamond" w:hAnsi="Garamond"/>
          <w:noProof/>
          <w:sz w:val="24"/>
          <w:lang w:val="en-US"/>
        </w:rPr>
        <w:drawing>
          <wp:inline distT="0" distB="0" distL="0" distR="0" wp14:anchorId="1A3A3E78" wp14:editId="73931817">
            <wp:extent cx="1981200" cy="723900"/>
            <wp:effectExtent l="0" t="0" r="0" b="0"/>
            <wp:docPr id="2" name="Picture 2"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p w14:paraId="576E5031" w14:textId="77777777" w:rsidR="00F520DB" w:rsidRPr="005D218F" w:rsidRDefault="00F520DB" w:rsidP="007733FB">
      <w:pPr>
        <w:ind w:left="3600" w:firstLine="720"/>
        <w:jc w:val="right"/>
        <w:rPr>
          <w:rFonts w:ascii="Arial" w:hAnsi="Arial" w:cs="Arial"/>
          <w:b/>
          <w:lang w:val="sk-SK"/>
        </w:rPr>
      </w:pPr>
    </w:p>
    <w:p w14:paraId="3E074F0D" w14:textId="671FA538" w:rsidR="007733FB" w:rsidRPr="005D218F" w:rsidRDefault="000A6B60" w:rsidP="007733FB">
      <w:pPr>
        <w:rPr>
          <w:rFonts w:ascii="Arial" w:hAnsi="Arial" w:cs="Arial"/>
          <w:b/>
          <w:sz w:val="24"/>
          <w:szCs w:val="24"/>
          <w:lang w:val="sk-SK"/>
        </w:rPr>
      </w:pPr>
      <w:r>
        <w:rPr>
          <w:rFonts w:ascii="Arial" w:hAnsi="Arial" w:cs="Arial"/>
          <w:b/>
          <w:sz w:val="24"/>
          <w:szCs w:val="24"/>
        </w:rPr>
        <w:t xml:space="preserve">  </w:t>
      </w:r>
      <w:r w:rsidRPr="00CB54CE">
        <w:rPr>
          <w:rFonts w:ascii="Arial" w:hAnsi="Arial" w:cs="Arial"/>
          <w:b/>
          <w:sz w:val="24"/>
          <w:szCs w:val="24"/>
        </w:rPr>
        <w:t>Press release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7733FB" w:rsidRPr="005D218F" w14:paraId="3FC01518" w14:textId="77777777" w:rsidTr="00E8466A">
        <w:trPr>
          <w:trHeight w:val="848"/>
        </w:trPr>
        <w:tc>
          <w:tcPr>
            <w:tcW w:w="10215" w:type="dxa"/>
            <w:shd w:val="clear" w:color="auto" w:fill="auto"/>
          </w:tcPr>
          <w:p w14:paraId="39708B1A" w14:textId="77777777" w:rsidR="00F520DB" w:rsidRPr="005D218F" w:rsidRDefault="00F520DB" w:rsidP="00E8466A">
            <w:pPr>
              <w:pStyle w:val="Hlavika"/>
              <w:jc w:val="right"/>
              <w:rPr>
                <w:rFonts w:ascii="Arial" w:hAnsi="Arial" w:cs="Arial"/>
                <w:sz w:val="18"/>
                <w:szCs w:val="18"/>
                <w:lang w:val="sk-SK"/>
              </w:rPr>
            </w:pPr>
          </w:p>
          <w:p w14:paraId="2D953512" w14:textId="77777777" w:rsidR="005D666E" w:rsidRPr="005D218F" w:rsidRDefault="005D666E" w:rsidP="00E8466A">
            <w:pPr>
              <w:pStyle w:val="Hlavika"/>
              <w:jc w:val="right"/>
              <w:rPr>
                <w:rFonts w:ascii="Arial" w:hAnsi="Arial" w:cs="Arial"/>
                <w:sz w:val="18"/>
                <w:szCs w:val="18"/>
                <w:lang w:val="sk-SK"/>
              </w:rPr>
            </w:pPr>
            <w:r w:rsidRPr="005D218F">
              <w:rPr>
                <w:rFonts w:ascii="Arial" w:hAnsi="Arial" w:cs="Arial"/>
                <w:sz w:val="18"/>
                <w:szCs w:val="18"/>
                <w:lang w:val="sk-SK"/>
              </w:rPr>
              <w:t>Cushman &amp; Wakefield: +42</w:t>
            </w:r>
            <w:r w:rsidR="00160FAA" w:rsidRPr="005D218F">
              <w:rPr>
                <w:rFonts w:ascii="Arial" w:hAnsi="Arial" w:cs="Arial"/>
                <w:sz w:val="18"/>
                <w:szCs w:val="18"/>
                <w:lang w:val="sk-SK"/>
              </w:rPr>
              <w:t>1 259 209 33</w:t>
            </w:r>
            <w:r w:rsidRPr="005D218F">
              <w:rPr>
                <w:rFonts w:ascii="Arial" w:hAnsi="Arial" w:cs="Arial"/>
                <w:sz w:val="18"/>
                <w:szCs w:val="18"/>
                <w:lang w:val="sk-SK"/>
              </w:rPr>
              <w:t>3</w:t>
            </w:r>
          </w:p>
          <w:p w14:paraId="5021B819" w14:textId="77777777" w:rsidR="007733FB" w:rsidRPr="005D218F" w:rsidRDefault="00160FAA" w:rsidP="00E8466A">
            <w:pPr>
              <w:pStyle w:val="Hlavika"/>
              <w:ind w:left="-630"/>
              <w:jc w:val="right"/>
              <w:rPr>
                <w:rFonts w:ascii="Arial" w:hAnsi="Arial" w:cs="Arial"/>
                <w:sz w:val="18"/>
                <w:szCs w:val="18"/>
                <w:lang w:val="sk-SK"/>
              </w:rPr>
            </w:pPr>
            <w:r w:rsidRPr="005D218F">
              <w:rPr>
                <w:rFonts w:ascii="Arial" w:hAnsi="Arial" w:cs="Arial"/>
                <w:sz w:val="18"/>
                <w:szCs w:val="18"/>
                <w:lang w:val="sk-SK"/>
              </w:rPr>
              <w:t>CB</w:t>
            </w:r>
            <w:r w:rsidR="009A688D" w:rsidRPr="005D218F">
              <w:rPr>
                <w:rFonts w:ascii="Arial" w:hAnsi="Arial" w:cs="Arial"/>
                <w:sz w:val="18"/>
                <w:szCs w:val="18"/>
                <w:lang w:val="sk-SK"/>
              </w:rPr>
              <w:t>RE</w:t>
            </w:r>
            <w:r w:rsidRPr="005D218F">
              <w:rPr>
                <w:rFonts w:ascii="Arial" w:hAnsi="Arial" w:cs="Arial"/>
                <w:sz w:val="18"/>
                <w:szCs w:val="18"/>
                <w:lang w:val="sk-SK"/>
              </w:rPr>
              <w:t>: +421 232 553 3</w:t>
            </w:r>
            <w:r w:rsidR="00CF6135">
              <w:rPr>
                <w:rFonts w:ascii="Arial" w:hAnsi="Arial" w:cs="Arial"/>
                <w:sz w:val="18"/>
                <w:szCs w:val="18"/>
                <w:lang w:val="sk-SK"/>
              </w:rPr>
              <w:t>00</w:t>
            </w:r>
          </w:p>
          <w:p w14:paraId="38A078A4" w14:textId="77777777" w:rsidR="004540D0" w:rsidRPr="005D218F" w:rsidRDefault="00160FAA" w:rsidP="00E8466A">
            <w:pPr>
              <w:pStyle w:val="Hlavika"/>
              <w:jc w:val="right"/>
              <w:rPr>
                <w:rFonts w:ascii="Arial" w:hAnsi="Arial" w:cs="Arial"/>
                <w:sz w:val="18"/>
                <w:szCs w:val="18"/>
                <w:lang w:val="sk-SK"/>
              </w:rPr>
            </w:pPr>
            <w:r w:rsidRPr="005D218F">
              <w:rPr>
                <w:rFonts w:ascii="Arial" w:hAnsi="Arial" w:cs="Arial"/>
                <w:sz w:val="18"/>
                <w:szCs w:val="18"/>
                <w:lang w:val="sk-SK"/>
              </w:rPr>
              <w:t>Colliers International: +421 259</w:t>
            </w:r>
            <w:r w:rsidR="007733FB" w:rsidRPr="005D218F">
              <w:rPr>
                <w:rFonts w:ascii="Arial" w:hAnsi="Arial" w:cs="Arial"/>
                <w:sz w:val="18"/>
                <w:szCs w:val="18"/>
                <w:lang w:val="sk-SK"/>
              </w:rPr>
              <w:t> </w:t>
            </w:r>
            <w:r w:rsidRPr="005D218F">
              <w:rPr>
                <w:rFonts w:ascii="Arial" w:hAnsi="Arial" w:cs="Arial"/>
                <w:sz w:val="18"/>
                <w:szCs w:val="18"/>
                <w:lang w:val="sk-SK"/>
              </w:rPr>
              <w:t>980</w:t>
            </w:r>
            <w:r w:rsidR="004540D0" w:rsidRPr="005D218F">
              <w:rPr>
                <w:rFonts w:ascii="Arial" w:hAnsi="Arial" w:cs="Arial"/>
                <w:sz w:val="18"/>
                <w:szCs w:val="18"/>
                <w:lang w:val="sk-SK"/>
              </w:rPr>
              <w:t> </w:t>
            </w:r>
            <w:r w:rsidRPr="005D218F">
              <w:rPr>
                <w:rFonts w:ascii="Arial" w:hAnsi="Arial" w:cs="Arial"/>
                <w:sz w:val="18"/>
                <w:szCs w:val="18"/>
                <w:lang w:val="sk-SK"/>
              </w:rPr>
              <w:t>980</w:t>
            </w:r>
          </w:p>
          <w:p w14:paraId="7F40F215" w14:textId="77777777" w:rsidR="007733FB" w:rsidRPr="005D218F" w:rsidRDefault="00F23D1D" w:rsidP="00E8466A">
            <w:pPr>
              <w:pStyle w:val="Hlavika"/>
              <w:jc w:val="right"/>
              <w:rPr>
                <w:rFonts w:ascii="Arial" w:hAnsi="Arial" w:cs="Arial"/>
                <w:sz w:val="18"/>
                <w:szCs w:val="18"/>
                <w:lang w:val="sk-SK"/>
              </w:rPr>
            </w:pPr>
            <w:r w:rsidRPr="005D218F">
              <w:rPr>
                <w:rFonts w:ascii="Arial" w:hAnsi="Arial" w:cs="Arial"/>
                <w:sz w:val="18"/>
                <w:szCs w:val="18"/>
                <w:lang w:val="sk-SK"/>
              </w:rPr>
              <w:t>JLL</w:t>
            </w:r>
            <w:r w:rsidR="004540D0" w:rsidRPr="005D218F">
              <w:rPr>
                <w:rFonts w:ascii="Arial" w:hAnsi="Arial" w:cs="Arial"/>
                <w:sz w:val="18"/>
                <w:szCs w:val="18"/>
                <w:lang w:val="sk-SK"/>
              </w:rPr>
              <w:t>: +421 259 209 931</w:t>
            </w:r>
            <w:r w:rsidR="007733FB" w:rsidRPr="005D218F">
              <w:rPr>
                <w:rFonts w:ascii="Arial" w:hAnsi="Arial" w:cs="Arial"/>
                <w:sz w:val="18"/>
                <w:szCs w:val="18"/>
                <w:lang w:val="sk-SK"/>
              </w:rPr>
              <w:t xml:space="preserve">            </w:t>
            </w:r>
          </w:p>
          <w:p w14:paraId="79940CE8" w14:textId="77777777" w:rsidR="007733FB" w:rsidRPr="005D218F" w:rsidRDefault="007733FB" w:rsidP="00E8466A">
            <w:pPr>
              <w:pStyle w:val="Hlavika"/>
              <w:jc w:val="right"/>
              <w:rPr>
                <w:rFonts w:ascii="Arial" w:hAnsi="Arial" w:cs="Arial"/>
                <w:sz w:val="18"/>
                <w:szCs w:val="18"/>
                <w:lang w:val="sk-SK"/>
              </w:rPr>
            </w:pPr>
          </w:p>
        </w:tc>
      </w:tr>
    </w:tbl>
    <w:p w14:paraId="46F61A73" w14:textId="77777777" w:rsidR="007733FB" w:rsidRPr="005D48BA" w:rsidRDefault="007733FB" w:rsidP="005D48BA">
      <w:bookmarkStart w:id="0" w:name="OLE_LINK3"/>
      <w:bookmarkStart w:id="1" w:name="OLE_LINK4"/>
    </w:p>
    <w:p w14:paraId="6A619AB9" w14:textId="27909527" w:rsidR="007733FB" w:rsidRPr="0078287D" w:rsidRDefault="000A6B60" w:rsidP="00407FBC">
      <w:pPr>
        <w:jc w:val="both"/>
        <w:rPr>
          <w:rFonts w:ascii="Arial" w:hAnsi="Arial" w:cs="Arial"/>
          <w:lang w:val="sk-SK"/>
        </w:rPr>
      </w:pPr>
      <w:r>
        <w:rPr>
          <w:rFonts w:ascii="Arial" w:hAnsi="Arial" w:cs="Arial"/>
          <w:lang w:val="sk-SK"/>
        </w:rPr>
        <w:t xml:space="preserve">  </w:t>
      </w:r>
      <w:proofErr w:type="spellStart"/>
      <w:r w:rsidR="0064599F">
        <w:rPr>
          <w:rFonts w:ascii="Arial" w:hAnsi="Arial" w:cs="Arial"/>
          <w:lang w:val="sk-SK"/>
        </w:rPr>
        <w:t>October</w:t>
      </w:r>
      <w:proofErr w:type="spellEnd"/>
      <w:r w:rsidR="002B0F3A">
        <w:rPr>
          <w:rFonts w:ascii="Arial" w:hAnsi="Arial" w:cs="Arial"/>
          <w:lang w:val="en-US"/>
        </w:rPr>
        <w:t xml:space="preserve"> </w:t>
      </w:r>
      <w:r w:rsidR="00440282">
        <w:rPr>
          <w:rFonts w:ascii="Arial" w:hAnsi="Arial" w:cs="Arial"/>
          <w:lang w:val="en-US"/>
        </w:rPr>
        <w:t>2</w:t>
      </w:r>
      <w:r w:rsidR="0064599F">
        <w:rPr>
          <w:rFonts w:ascii="Arial" w:hAnsi="Arial" w:cs="Arial"/>
          <w:lang w:val="en-US"/>
        </w:rPr>
        <w:t>4</w:t>
      </w:r>
      <w:r w:rsidR="00E1127F" w:rsidRPr="00E1127F">
        <w:rPr>
          <w:rFonts w:ascii="Arial" w:hAnsi="Arial" w:cs="Arial"/>
          <w:vertAlign w:val="superscript"/>
          <w:lang w:val="en-US"/>
        </w:rPr>
        <w:t>th</w:t>
      </w:r>
      <w:r w:rsidR="002B0F3A">
        <w:rPr>
          <w:rFonts w:ascii="Arial" w:hAnsi="Arial" w:cs="Arial"/>
          <w:lang w:val="en-US"/>
        </w:rPr>
        <w:t xml:space="preserve"> </w:t>
      </w:r>
      <w:r w:rsidR="005D48BA" w:rsidRPr="0078287D">
        <w:rPr>
          <w:rFonts w:ascii="Arial" w:hAnsi="Arial" w:cs="Arial"/>
          <w:lang w:val="sk-SK"/>
        </w:rPr>
        <w:t>201</w:t>
      </w:r>
      <w:r w:rsidR="00F90D59">
        <w:rPr>
          <w:rFonts w:ascii="Arial" w:hAnsi="Arial" w:cs="Arial"/>
          <w:lang w:val="sk-SK"/>
        </w:rPr>
        <w:t>9</w:t>
      </w:r>
      <w:r w:rsidR="00BB0E42" w:rsidRPr="0078287D">
        <w:rPr>
          <w:rFonts w:ascii="Arial" w:hAnsi="Arial" w:cs="Arial"/>
          <w:lang w:val="sk-SK"/>
        </w:rPr>
        <w:t xml:space="preserve">, </w:t>
      </w:r>
      <w:r w:rsidR="005D666E" w:rsidRPr="0078287D">
        <w:rPr>
          <w:rFonts w:ascii="Arial" w:hAnsi="Arial" w:cs="Arial"/>
          <w:lang w:val="sk-SK"/>
        </w:rPr>
        <w:t>Bratislava</w:t>
      </w:r>
    </w:p>
    <w:p w14:paraId="3D798918" w14:textId="311D2EE5" w:rsidR="007733FB" w:rsidRPr="0078287D" w:rsidRDefault="007733FB" w:rsidP="007733FB">
      <w:pPr>
        <w:jc w:val="both"/>
        <w:rPr>
          <w:rFonts w:ascii="Arial" w:hAnsi="Arial" w:cs="Arial"/>
          <w:b/>
          <w:lang w:val="sk-SK"/>
        </w:rPr>
      </w:pPr>
    </w:p>
    <w:p w14:paraId="30D4D956" w14:textId="77777777" w:rsidR="000A6B60" w:rsidRPr="0078287D" w:rsidRDefault="000A6B60" w:rsidP="000A6B60">
      <w:pPr>
        <w:jc w:val="center"/>
        <w:outlineLvl w:val="0"/>
        <w:rPr>
          <w:rFonts w:ascii="Arial" w:hAnsi="Arial" w:cs="Arial"/>
          <w:b/>
          <w:sz w:val="24"/>
          <w:szCs w:val="24"/>
        </w:rPr>
      </w:pPr>
      <w:r w:rsidRPr="0078287D">
        <w:rPr>
          <w:rFonts w:ascii="Arial" w:hAnsi="Arial" w:cs="Arial"/>
          <w:b/>
          <w:sz w:val="24"/>
          <w:szCs w:val="24"/>
        </w:rPr>
        <w:t>Bratislava Research Forum Announces</w:t>
      </w:r>
    </w:p>
    <w:p w14:paraId="70A27CE0" w14:textId="0ECDF572" w:rsidR="000A6B60" w:rsidRPr="0078287D" w:rsidRDefault="000A6B60" w:rsidP="000A6B60">
      <w:pPr>
        <w:jc w:val="center"/>
        <w:outlineLvl w:val="0"/>
        <w:rPr>
          <w:rFonts w:ascii="Arial" w:hAnsi="Arial" w:cs="Arial"/>
          <w:b/>
          <w:sz w:val="24"/>
          <w:szCs w:val="24"/>
        </w:rPr>
      </w:pPr>
      <w:r w:rsidRPr="0078287D">
        <w:rPr>
          <w:rFonts w:ascii="Arial" w:hAnsi="Arial" w:cs="Arial"/>
          <w:b/>
          <w:sz w:val="24"/>
          <w:szCs w:val="24"/>
        </w:rPr>
        <w:t>Office Market Figures for Q</w:t>
      </w:r>
      <w:r w:rsidR="0064599F">
        <w:rPr>
          <w:rFonts w:ascii="Arial" w:hAnsi="Arial" w:cs="Arial"/>
          <w:b/>
          <w:sz w:val="24"/>
          <w:szCs w:val="24"/>
        </w:rPr>
        <w:t>3</w:t>
      </w:r>
      <w:r w:rsidR="0078287D" w:rsidRPr="0078287D">
        <w:rPr>
          <w:rFonts w:ascii="Arial" w:hAnsi="Arial" w:cs="Arial"/>
          <w:b/>
          <w:sz w:val="24"/>
          <w:szCs w:val="24"/>
        </w:rPr>
        <w:t xml:space="preserve"> 201</w:t>
      </w:r>
      <w:r w:rsidR="00E1127F">
        <w:rPr>
          <w:rFonts w:ascii="Arial" w:hAnsi="Arial" w:cs="Arial"/>
          <w:b/>
          <w:sz w:val="24"/>
          <w:szCs w:val="24"/>
        </w:rPr>
        <w:t>9</w:t>
      </w:r>
    </w:p>
    <w:p w14:paraId="647B1FDB" w14:textId="77777777" w:rsidR="00C749CD" w:rsidRPr="0078287D" w:rsidRDefault="00C749CD" w:rsidP="00710C2A">
      <w:pPr>
        <w:jc w:val="both"/>
        <w:outlineLvl w:val="0"/>
        <w:rPr>
          <w:rFonts w:ascii="Arial" w:hAnsi="Arial" w:cs="Arial"/>
          <w:b/>
          <w:sz w:val="24"/>
          <w:szCs w:val="24"/>
          <w:lang w:val="sk-SK"/>
        </w:rPr>
      </w:pPr>
    </w:p>
    <w:p w14:paraId="62820F4A" w14:textId="77777777" w:rsidR="007733FB" w:rsidRPr="0078287D" w:rsidRDefault="007733FB" w:rsidP="007733FB">
      <w:pPr>
        <w:pStyle w:val="Hlavika"/>
        <w:rPr>
          <w:rFonts w:ascii="Arial" w:hAnsi="Arial" w:cs="Arial"/>
          <w:sz w:val="18"/>
          <w:szCs w:val="18"/>
          <w:lang w:val="sk-SK"/>
        </w:rPr>
      </w:pPr>
    </w:p>
    <w:p w14:paraId="620F8561" w14:textId="77777777" w:rsidR="000A6B60" w:rsidRPr="0078287D" w:rsidRDefault="000A6B60" w:rsidP="000A6B60">
      <w:pPr>
        <w:jc w:val="both"/>
        <w:outlineLvl w:val="0"/>
        <w:rPr>
          <w:rFonts w:ascii="Arial" w:hAnsi="Arial" w:cs="Arial"/>
          <w:b/>
          <w:sz w:val="18"/>
          <w:szCs w:val="18"/>
        </w:rPr>
      </w:pPr>
      <w:r w:rsidRPr="0078287D">
        <w:rPr>
          <w:rFonts w:ascii="Arial" w:hAnsi="Arial" w:cs="Arial"/>
          <w:b/>
          <w:sz w:val="18"/>
          <w:szCs w:val="18"/>
        </w:rPr>
        <w:t>Introduction</w:t>
      </w:r>
    </w:p>
    <w:p w14:paraId="11B39EF7" w14:textId="77777777" w:rsidR="007733FB" w:rsidRPr="0078287D" w:rsidRDefault="007733FB" w:rsidP="007733FB">
      <w:pPr>
        <w:jc w:val="both"/>
        <w:rPr>
          <w:rFonts w:ascii="Arial" w:hAnsi="Arial" w:cs="Arial"/>
          <w:sz w:val="18"/>
          <w:szCs w:val="18"/>
          <w:lang w:val="sk-SK"/>
        </w:rPr>
      </w:pPr>
    </w:p>
    <w:bookmarkEnd w:id="0"/>
    <w:bookmarkEnd w:id="1"/>
    <w:p w14:paraId="6B5A4F6D" w14:textId="3081E8A2" w:rsidR="000A6B60" w:rsidRPr="0078287D" w:rsidRDefault="000A6B60" w:rsidP="000A6B60">
      <w:pPr>
        <w:jc w:val="both"/>
        <w:rPr>
          <w:rFonts w:ascii="Arial" w:hAnsi="Arial" w:cs="Arial"/>
          <w:b/>
          <w:sz w:val="18"/>
          <w:szCs w:val="18"/>
        </w:rPr>
      </w:pPr>
      <w:r w:rsidRPr="0078287D">
        <w:rPr>
          <w:rFonts w:ascii="Arial" w:hAnsi="Arial" w:cs="Arial"/>
          <w:sz w:val="18"/>
          <w:szCs w:val="18"/>
        </w:rPr>
        <w:t xml:space="preserve">The Bratislava Research Forum is pleased to announce Office Market figures for </w:t>
      </w:r>
      <w:r w:rsidRPr="0078287D">
        <w:rPr>
          <w:rFonts w:ascii="Arial" w:hAnsi="Arial" w:cs="Arial"/>
          <w:b/>
          <w:sz w:val="18"/>
          <w:szCs w:val="18"/>
        </w:rPr>
        <w:t>Q</w:t>
      </w:r>
      <w:r w:rsidR="0064599F">
        <w:rPr>
          <w:rFonts w:ascii="Arial" w:hAnsi="Arial" w:cs="Arial"/>
          <w:b/>
          <w:sz w:val="18"/>
          <w:szCs w:val="18"/>
        </w:rPr>
        <w:t>3</w:t>
      </w:r>
      <w:r w:rsidRPr="0078287D">
        <w:rPr>
          <w:rFonts w:ascii="Arial" w:hAnsi="Arial" w:cs="Arial"/>
          <w:b/>
          <w:sz w:val="18"/>
          <w:szCs w:val="18"/>
        </w:rPr>
        <w:t xml:space="preserve"> 201</w:t>
      </w:r>
      <w:r w:rsidR="00E1127F">
        <w:rPr>
          <w:rFonts w:ascii="Arial" w:hAnsi="Arial" w:cs="Arial"/>
          <w:b/>
          <w:sz w:val="18"/>
          <w:szCs w:val="18"/>
        </w:rPr>
        <w:t>9</w:t>
      </w:r>
      <w:r w:rsidRPr="0078287D">
        <w:rPr>
          <w:rFonts w:ascii="Arial" w:hAnsi="Arial" w:cs="Arial"/>
          <w:b/>
          <w:sz w:val="18"/>
          <w:szCs w:val="18"/>
        </w:rPr>
        <w:t>.</w:t>
      </w:r>
    </w:p>
    <w:p w14:paraId="02A60445" w14:textId="77777777" w:rsidR="000A6B60" w:rsidRPr="0078287D" w:rsidRDefault="000A6B60" w:rsidP="000A6B60">
      <w:pPr>
        <w:jc w:val="both"/>
        <w:rPr>
          <w:rFonts w:ascii="Arial" w:hAnsi="Arial" w:cs="Arial"/>
          <w:b/>
          <w:sz w:val="18"/>
          <w:szCs w:val="18"/>
        </w:rPr>
      </w:pPr>
    </w:p>
    <w:p w14:paraId="35FE8A15" w14:textId="77777777" w:rsidR="000A6B60" w:rsidRPr="0078287D" w:rsidRDefault="000A6B60" w:rsidP="000A6B60">
      <w:pPr>
        <w:jc w:val="both"/>
        <w:rPr>
          <w:rFonts w:ascii="Arial" w:hAnsi="Arial" w:cs="Arial"/>
          <w:sz w:val="18"/>
          <w:szCs w:val="18"/>
        </w:rPr>
      </w:pPr>
      <w:r w:rsidRPr="0078287D">
        <w:rPr>
          <w:rFonts w:ascii="Arial" w:hAnsi="Arial" w:cs="Arial"/>
          <w:sz w:val="18"/>
          <w:szCs w:val="18"/>
        </w:rPr>
        <w:t xml:space="preserve">The members of the Bratislava Research Forum (BRF) – Cushman and Wakefield, CBRE, Colliers International and JLL share non-sensitive information with the aim of providing clients and public with consistent, accurate and transparent data about the Bratislava office market. </w:t>
      </w:r>
    </w:p>
    <w:p w14:paraId="01041842" w14:textId="77777777" w:rsidR="000A6B60" w:rsidRPr="0078287D" w:rsidRDefault="000A6B60" w:rsidP="000A6B60">
      <w:pPr>
        <w:jc w:val="both"/>
        <w:rPr>
          <w:rFonts w:ascii="Arial" w:hAnsi="Arial" w:cs="Arial"/>
          <w:sz w:val="18"/>
          <w:szCs w:val="18"/>
        </w:rPr>
      </w:pPr>
    </w:p>
    <w:p w14:paraId="1523512E" w14:textId="77777777" w:rsidR="000A6B60" w:rsidRPr="0078688C" w:rsidRDefault="000A6B60" w:rsidP="000A6B60">
      <w:pPr>
        <w:jc w:val="both"/>
        <w:rPr>
          <w:rFonts w:ascii="Arial" w:hAnsi="Arial" w:cs="Arial"/>
          <w:sz w:val="18"/>
          <w:szCs w:val="18"/>
        </w:rPr>
      </w:pPr>
      <w:r w:rsidRPr="0078287D">
        <w:rPr>
          <w:rFonts w:ascii="Arial" w:hAnsi="Arial" w:cs="Arial"/>
          <w:sz w:val="18"/>
          <w:szCs w:val="18"/>
        </w:rPr>
        <w:t>The market is classified into city centre, inner city and outer city</w:t>
      </w:r>
      <w:r w:rsidRPr="00CB54CE">
        <w:rPr>
          <w:rFonts w:ascii="Arial" w:hAnsi="Arial" w:cs="Arial"/>
          <w:sz w:val="18"/>
          <w:szCs w:val="18"/>
        </w:rPr>
        <w:t xml:space="preserve"> as outlined in the plan below to allow a simplified analysis. In addition, data is collected</w:t>
      </w:r>
      <w:r>
        <w:rPr>
          <w:rFonts w:ascii="Arial" w:hAnsi="Arial" w:cs="Arial"/>
          <w:sz w:val="18"/>
          <w:szCs w:val="18"/>
        </w:rPr>
        <w:t xml:space="preserve"> also</w:t>
      </w:r>
      <w:r w:rsidRPr="00CB54CE">
        <w:rPr>
          <w:rFonts w:ascii="Arial" w:hAnsi="Arial" w:cs="Arial"/>
          <w:sz w:val="18"/>
          <w:szCs w:val="18"/>
        </w:rPr>
        <w:t xml:space="preserve"> according to Bratislava districts.</w:t>
      </w:r>
    </w:p>
    <w:p w14:paraId="05ABD3D3" w14:textId="77777777" w:rsidR="009758C7" w:rsidRPr="005D218F" w:rsidRDefault="009758C7" w:rsidP="00710C2A">
      <w:pPr>
        <w:jc w:val="both"/>
        <w:rPr>
          <w:rFonts w:ascii="Arial" w:hAnsi="Arial" w:cs="Arial"/>
          <w:sz w:val="18"/>
          <w:szCs w:val="18"/>
          <w:lang w:val="sk-SK"/>
        </w:rPr>
      </w:pPr>
    </w:p>
    <w:p w14:paraId="2BE9F130" w14:textId="77777777" w:rsidR="007733FB" w:rsidRPr="005D218F" w:rsidRDefault="007733FB" w:rsidP="007733FB">
      <w:pPr>
        <w:jc w:val="both"/>
        <w:rPr>
          <w:rFonts w:ascii="Arial" w:hAnsi="Arial" w:cs="Arial"/>
          <w:sz w:val="18"/>
          <w:szCs w:val="18"/>
          <w:lang w:val="sk-SK"/>
        </w:rPr>
      </w:pPr>
    </w:p>
    <w:p w14:paraId="48D6865E" w14:textId="77777777" w:rsidR="009A33A1" w:rsidRPr="005D218F" w:rsidRDefault="009A33A1" w:rsidP="007733FB">
      <w:pPr>
        <w:jc w:val="both"/>
        <w:rPr>
          <w:rFonts w:ascii="Arial" w:hAnsi="Arial" w:cs="Arial"/>
          <w:sz w:val="18"/>
          <w:szCs w:val="18"/>
          <w:lang w:val="sk-SK"/>
        </w:rPr>
      </w:pPr>
    </w:p>
    <w:p w14:paraId="68EDAC5F" w14:textId="77777777" w:rsidR="009A33A1" w:rsidRPr="005D218F" w:rsidRDefault="009A33A1" w:rsidP="007733FB">
      <w:pPr>
        <w:jc w:val="both"/>
        <w:rPr>
          <w:rFonts w:ascii="Arial" w:hAnsi="Arial" w:cs="Arial"/>
          <w:sz w:val="18"/>
          <w:szCs w:val="18"/>
          <w:lang w:val="sk-SK"/>
        </w:rPr>
      </w:pPr>
    </w:p>
    <w:p w14:paraId="00FAABC1" w14:textId="77777777" w:rsidR="00435E55" w:rsidRPr="005D218F" w:rsidRDefault="00435E55" w:rsidP="003865C1">
      <w:pPr>
        <w:jc w:val="center"/>
        <w:rPr>
          <w:rFonts w:ascii="Arial" w:hAnsi="Arial" w:cs="Arial"/>
          <w:sz w:val="18"/>
          <w:szCs w:val="18"/>
          <w:lang w:val="sk-SK"/>
        </w:rPr>
      </w:pPr>
      <w:r w:rsidRPr="005D218F">
        <w:rPr>
          <w:noProof/>
          <w:lang w:val="en-US"/>
        </w:rPr>
        <w:drawing>
          <wp:inline distT="0" distB="0" distL="0" distR="0" wp14:anchorId="5C5F48D5" wp14:editId="4E79ED11">
            <wp:extent cx="3240000" cy="3234520"/>
            <wp:effectExtent l="19050" t="0" r="0" b="0"/>
            <wp:docPr id="3"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7" cstate="print"/>
                    <a:srcRect/>
                    <a:stretch>
                      <a:fillRect/>
                    </a:stretch>
                  </pic:blipFill>
                  <pic:spPr bwMode="auto">
                    <a:xfrm>
                      <a:off x="0" y="0"/>
                      <a:ext cx="3240000" cy="3234520"/>
                    </a:xfrm>
                    <a:prstGeom prst="rect">
                      <a:avLst/>
                    </a:prstGeom>
                    <a:noFill/>
                    <a:ln w="9525">
                      <a:noFill/>
                      <a:miter lim="800000"/>
                      <a:headEnd/>
                      <a:tailEnd/>
                    </a:ln>
                    <a:effectLst/>
                  </pic:spPr>
                </pic:pic>
              </a:graphicData>
            </a:graphic>
          </wp:inline>
        </w:drawing>
      </w:r>
    </w:p>
    <w:p w14:paraId="2B9BCC87" w14:textId="77777777" w:rsidR="009A33A1" w:rsidRPr="005D218F" w:rsidRDefault="009A33A1" w:rsidP="007733FB">
      <w:pPr>
        <w:jc w:val="both"/>
        <w:rPr>
          <w:rFonts w:ascii="Arial" w:hAnsi="Arial" w:cs="Arial"/>
          <w:sz w:val="18"/>
          <w:szCs w:val="18"/>
          <w:lang w:val="sk-SK"/>
        </w:rPr>
      </w:pPr>
    </w:p>
    <w:p w14:paraId="1302207A" w14:textId="77777777" w:rsidR="009D107E" w:rsidRDefault="009D107E" w:rsidP="007733FB">
      <w:pPr>
        <w:jc w:val="both"/>
        <w:outlineLvl w:val="0"/>
        <w:rPr>
          <w:rFonts w:ascii="Arial" w:hAnsi="Arial" w:cs="Arial"/>
          <w:b/>
          <w:bCs/>
          <w:lang w:val="sk-SK"/>
        </w:rPr>
      </w:pPr>
    </w:p>
    <w:p w14:paraId="53A4A799" w14:textId="77777777" w:rsidR="009D107E" w:rsidRDefault="009D107E" w:rsidP="007733FB">
      <w:pPr>
        <w:jc w:val="both"/>
        <w:outlineLvl w:val="0"/>
        <w:rPr>
          <w:rFonts w:ascii="Arial" w:hAnsi="Arial" w:cs="Arial"/>
          <w:b/>
          <w:bCs/>
          <w:lang w:val="sk-SK"/>
        </w:rPr>
      </w:pPr>
    </w:p>
    <w:p w14:paraId="6EBE6E69" w14:textId="5B16213D" w:rsidR="007733FB" w:rsidRPr="005D218F" w:rsidRDefault="000A6B60" w:rsidP="007733FB">
      <w:pPr>
        <w:jc w:val="both"/>
        <w:outlineLvl w:val="0"/>
        <w:rPr>
          <w:rFonts w:ascii="Arial" w:hAnsi="Arial" w:cs="Arial"/>
          <w:b/>
          <w:bCs/>
          <w:lang w:val="sk-SK"/>
        </w:rPr>
      </w:pPr>
      <w:r>
        <w:rPr>
          <w:rFonts w:ascii="Arial" w:hAnsi="Arial" w:cs="Arial"/>
          <w:b/>
          <w:bCs/>
          <w:lang w:val="sk-SK"/>
        </w:rPr>
        <w:t>Office Supply/Stock</w:t>
      </w:r>
    </w:p>
    <w:p w14:paraId="1A9EA1CA" w14:textId="77777777" w:rsidR="007733FB" w:rsidRPr="005D218F" w:rsidRDefault="007733FB" w:rsidP="007733FB">
      <w:pPr>
        <w:jc w:val="both"/>
        <w:rPr>
          <w:rFonts w:ascii="Arial" w:hAnsi="Arial" w:cs="Arial"/>
          <w:b/>
          <w:bCs/>
          <w:sz w:val="18"/>
          <w:szCs w:val="18"/>
          <w:lang w:val="sk-SK"/>
        </w:rPr>
      </w:pPr>
    </w:p>
    <w:p w14:paraId="04C5FA53" w14:textId="61ECFEA9" w:rsidR="000A6B60" w:rsidRPr="0078688C" w:rsidRDefault="000A6B60" w:rsidP="000A6B60">
      <w:pPr>
        <w:jc w:val="both"/>
        <w:rPr>
          <w:rFonts w:ascii="Arial" w:hAnsi="Arial" w:cs="Arial"/>
          <w:b/>
          <w:sz w:val="18"/>
          <w:szCs w:val="18"/>
        </w:rPr>
      </w:pPr>
      <w:r w:rsidRPr="00BF7080">
        <w:rPr>
          <w:rFonts w:ascii="Arial" w:hAnsi="Arial" w:cs="Arial"/>
          <w:sz w:val="18"/>
          <w:szCs w:val="18"/>
        </w:rPr>
        <w:t>In</w:t>
      </w:r>
      <w:r>
        <w:rPr>
          <w:rFonts w:ascii="Arial" w:hAnsi="Arial" w:cs="Arial"/>
          <w:bCs/>
        </w:rPr>
        <w:t xml:space="preserve"> </w:t>
      </w:r>
      <w:r w:rsidRPr="00CB54CE">
        <w:rPr>
          <w:rFonts w:ascii="Arial" w:hAnsi="Arial" w:cs="Arial"/>
          <w:sz w:val="18"/>
          <w:szCs w:val="18"/>
        </w:rPr>
        <w:t xml:space="preserve">the </w:t>
      </w:r>
      <w:r w:rsidR="0064599F">
        <w:rPr>
          <w:rFonts w:ascii="Arial" w:hAnsi="Arial" w:cs="Arial"/>
          <w:sz w:val="18"/>
          <w:szCs w:val="18"/>
        </w:rPr>
        <w:t>third</w:t>
      </w:r>
      <w:r w:rsidR="0078287D">
        <w:rPr>
          <w:rFonts w:ascii="Arial" w:hAnsi="Arial" w:cs="Arial"/>
          <w:sz w:val="18"/>
          <w:szCs w:val="18"/>
        </w:rPr>
        <w:t xml:space="preserve"> </w:t>
      </w:r>
      <w:r w:rsidRPr="00CB54CE">
        <w:rPr>
          <w:rFonts w:ascii="Arial" w:hAnsi="Arial" w:cs="Arial"/>
          <w:sz w:val="18"/>
          <w:szCs w:val="18"/>
        </w:rPr>
        <w:t xml:space="preserve">quarter </w:t>
      </w:r>
      <w:r>
        <w:rPr>
          <w:rFonts w:ascii="Arial" w:hAnsi="Arial" w:cs="Arial"/>
          <w:sz w:val="18"/>
          <w:szCs w:val="18"/>
        </w:rPr>
        <w:t xml:space="preserve">of </w:t>
      </w:r>
      <w:r w:rsidRPr="00CB54CE">
        <w:rPr>
          <w:rFonts w:ascii="Arial" w:hAnsi="Arial" w:cs="Arial"/>
          <w:sz w:val="18"/>
          <w:szCs w:val="18"/>
        </w:rPr>
        <w:t>201</w:t>
      </w:r>
      <w:r w:rsidR="00E1127F">
        <w:rPr>
          <w:rFonts w:ascii="Arial" w:hAnsi="Arial" w:cs="Arial"/>
          <w:sz w:val="18"/>
          <w:szCs w:val="18"/>
        </w:rPr>
        <w:t>9</w:t>
      </w:r>
      <w:r w:rsidRPr="00CB54CE">
        <w:rPr>
          <w:rFonts w:ascii="Arial" w:hAnsi="Arial" w:cs="Arial"/>
          <w:sz w:val="18"/>
          <w:szCs w:val="18"/>
        </w:rPr>
        <w:t xml:space="preserve">, </w:t>
      </w:r>
      <w:r w:rsidRPr="00925F8A">
        <w:rPr>
          <w:rFonts w:ascii="Arial" w:hAnsi="Arial" w:cs="Arial"/>
          <w:sz w:val="18"/>
          <w:szCs w:val="18"/>
        </w:rPr>
        <w:t>the total office stock of A and B Grade quality in Brat</w:t>
      </w:r>
      <w:r w:rsidR="003B33C6" w:rsidRPr="00925F8A">
        <w:rPr>
          <w:rFonts w:ascii="Arial" w:hAnsi="Arial" w:cs="Arial"/>
          <w:sz w:val="18"/>
          <w:szCs w:val="18"/>
        </w:rPr>
        <w:t xml:space="preserve">islava amounts </w:t>
      </w:r>
      <w:r w:rsidR="00071BE2">
        <w:rPr>
          <w:rFonts w:ascii="Arial" w:hAnsi="Arial" w:cs="Arial"/>
          <w:sz w:val="18"/>
          <w:szCs w:val="18"/>
        </w:rPr>
        <w:t xml:space="preserve">to </w:t>
      </w:r>
      <w:r w:rsidR="00440282">
        <w:rPr>
          <w:rFonts w:ascii="Arial" w:hAnsi="Arial" w:cs="Arial"/>
          <w:sz w:val="18"/>
          <w:szCs w:val="18"/>
        </w:rPr>
        <w:t>more than</w:t>
      </w:r>
      <w:r w:rsidR="003B33C6" w:rsidRPr="00925F8A">
        <w:rPr>
          <w:rFonts w:ascii="Arial" w:hAnsi="Arial" w:cs="Arial"/>
          <w:sz w:val="18"/>
          <w:szCs w:val="18"/>
        </w:rPr>
        <w:t xml:space="preserve"> </w:t>
      </w:r>
      <w:r w:rsidR="0078287D" w:rsidRPr="00925F8A">
        <w:rPr>
          <w:rFonts w:ascii="Arial" w:hAnsi="Arial" w:cs="Arial"/>
          <w:sz w:val="18"/>
          <w:szCs w:val="18"/>
        </w:rPr>
        <w:t>1.</w:t>
      </w:r>
      <w:r w:rsidR="00731084">
        <w:rPr>
          <w:rFonts w:ascii="Arial" w:hAnsi="Arial" w:cs="Arial"/>
          <w:sz w:val="18"/>
          <w:szCs w:val="18"/>
        </w:rPr>
        <w:t>8</w:t>
      </w:r>
      <w:r w:rsidR="008407C1">
        <w:rPr>
          <w:rFonts w:ascii="Arial" w:hAnsi="Arial" w:cs="Arial"/>
          <w:sz w:val="18"/>
          <w:szCs w:val="18"/>
        </w:rPr>
        <w:t xml:space="preserve"> million square meters. 6</w:t>
      </w:r>
      <w:r w:rsidR="00450F1A">
        <w:rPr>
          <w:rFonts w:ascii="Arial" w:hAnsi="Arial" w:cs="Arial"/>
          <w:sz w:val="18"/>
          <w:szCs w:val="18"/>
        </w:rPr>
        <w:t>2</w:t>
      </w:r>
      <w:r w:rsidRPr="00925F8A">
        <w:rPr>
          <w:rFonts w:ascii="Arial" w:hAnsi="Arial" w:cs="Arial"/>
          <w:sz w:val="18"/>
          <w:szCs w:val="18"/>
        </w:rPr>
        <w:t xml:space="preserve">% of the space is represented by A-class office space and </w:t>
      </w:r>
      <w:r w:rsidR="00731084">
        <w:rPr>
          <w:rFonts w:ascii="Arial" w:hAnsi="Arial" w:cs="Arial"/>
          <w:sz w:val="18"/>
          <w:szCs w:val="18"/>
        </w:rPr>
        <w:t>3</w:t>
      </w:r>
      <w:r w:rsidR="00450F1A">
        <w:rPr>
          <w:rFonts w:ascii="Arial" w:hAnsi="Arial" w:cs="Arial"/>
          <w:sz w:val="18"/>
          <w:szCs w:val="18"/>
        </w:rPr>
        <w:t>8</w:t>
      </w:r>
      <w:r w:rsidRPr="00925F8A">
        <w:rPr>
          <w:rFonts w:ascii="Arial" w:hAnsi="Arial" w:cs="Arial"/>
          <w:sz w:val="18"/>
          <w:szCs w:val="18"/>
        </w:rPr>
        <w:t>% by B-Class office space.</w:t>
      </w:r>
    </w:p>
    <w:p w14:paraId="3A20F1CF" w14:textId="77777777" w:rsidR="000A6B60" w:rsidRPr="0078688C" w:rsidRDefault="000A6B60" w:rsidP="000A6B60">
      <w:pPr>
        <w:jc w:val="both"/>
        <w:rPr>
          <w:rFonts w:ascii="Arial" w:hAnsi="Arial" w:cs="Arial"/>
          <w:b/>
          <w:sz w:val="18"/>
          <w:szCs w:val="18"/>
        </w:rPr>
      </w:pPr>
    </w:p>
    <w:p w14:paraId="05A2D650" w14:textId="77777777" w:rsidR="00330118" w:rsidRPr="005D218F" w:rsidRDefault="00330118">
      <w:pPr>
        <w:rPr>
          <w:rFonts w:ascii="Arial" w:hAnsi="Arial" w:cs="Arial"/>
          <w:b/>
          <w:sz w:val="18"/>
          <w:szCs w:val="18"/>
          <w:lang w:val="sk-SK"/>
        </w:rPr>
      </w:pPr>
      <w:r w:rsidRPr="005D218F">
        <w:rPr>
          <w:rFonts w:ascii="Arial" w:hAnsi="Arial" w:cs="Arial"/>
          <w:b/>
          <w:sz w:val="18"/>
          <w:szCs w:val="18"/>
          <w:lang w:val="sk-SK"/>
        </w:rPr>
        <w:br w:type="page"/>
      </w:r>
    </w:p>
    <w:p w14:paraId="2B60A2BC" w14:textId="1FD5C9CD" w:rsidR="000A6B60" w:rsidRPr="0078688C" w:rsidRDefault="00765FE3" w:rsidP="000A6B60">
      <w:pPr>
        <w:jc w:val="both"/>
        <w:rPr>
          <w:rFonts w:ascii="Arial" w:hAnsi="Arial" w:cs="Arial"/>
          <w:b/>
          <w:sz w:val="18"/>
          <w:szCs w:val="18"/>
        </w:rPr>
      </w:pPr>
      <w:r>
        <w:rPr>
          <w:rFonts w:ascii="Arial" w:hAnsi="Arial" w:cs="Arial"/>
          <w:b/>
          <w:noProof/>
          <w:sz w:val="18"/>
          <w:szCs w:val="18"/>
          <w:lang w:val="en-US"/>
        </w:rPr>
        <w:lastRenderedPageBreak/>
        <mc:AlternateContent>
          <mc:Choice Requires="wps">
            <w:drawing>
              <wp:anchor distT="0" distB="0" distL="114300" distR="114300" simplePos="0" relativeHeight="251669504" behindDoc="0" locked="0" layoutInCell="1" allowOverlap="1" wp14:anchorId="36888F46" wp14:editId="5437F6CA">
                <wp:simplePos x="0" y="0"/>
                <wp:positionH relativeFrom="column">
                  <wp:posOffset>3488055</wp:posOffset>
                </wp:positionH>
                <wp:positionV relativeFrom="paragraph">
                  <wp:posOffset>-46990</wp:posOffset>
                </wp:positionV>
                <wp:extent cx="3190875" cy="365760"/>
                <wp:effectExtent l="0" t="0" r="9525" b="0"/>
                <wp:wrapNone/>
                <wp:docPr id="13" name="Textové pole 13"/>
                <wp:cNvGraphicFramePr/>
                <a:graphic xmlns:a="http://schemas.openxmlformats.org/drawingml/2006/main">
                  <a:graphicData uri="http://schemas.microsoft.com/office/word/2010/wordprocessingShape">
                    <wps:wsp>
                      <wps:cNvSpPr txBox="1"/>
                      <wps:spPr>
                        <a:xfrm>
                          <a:off x="0" y="0"/>
                          <a:ext cx="3190875" cy="365760"/>
                        </a:xfrm>
                        <a:prstGeom prst="rect">
                          <a:avLst/>
                        </a:prstGeom>
                        <a:solidFill>
                          <a:schemeClr val="lt1"/>
                        </a:solidFill>
                        <a:ln w="6350">
                          <a:noFill/>
                        </a:ln>
                      </wps:spPr>
                      <wps:txbx>
                        <w:txbxContent>
                          <w:p w14:paraId="1AFFDCE2" w14:textId="77777777" w:rsidR="00952E97" w:rsidRPr="0078688C" w:rsidRDefault="00952E97" w:rsidP="000A6B60">
                            <w:pPr>
                              <w:jc w:val="both"/>
                              <w:rPr>
                                <w:rFonts w:ascii="Arial" w:hAnsi="Arial" w:cs="Arial"/>
                                <w:b/>
                                <w:sz w:val="18"/>
                                <w:szCs w:val="18"/>
                              </w:rPr>
                            </w:pPr>
                            <w:r w:rsidRPr="00CB54CE">
                              <w:rPr>
                                <w:rFonts w:ascii="Arial" w:hAnsi="Arial" w:cs="Arial"/>
                                <w:b/>
                                <w:sz w:val="18"/>
                                <w:szCs w:val="18"/>
                              </w:rPr>
                              <w:t>Total modern stock according to BRF classification</w:t>
                            </w:r>
                          </w:p>
                          <w:p w14:paraId="26DF7B5B" w14:textId="2B23E473" w:rsidR="00952E97" w:rsidRPr="00765FE3" w:rsidRDefault="00952E97" w:rsidP="00765FE3">
                            <w:pPr>
                              <w:jc w:val="both"/>
                              <w:rPr>
                                <w:rFonts w:ascii="Arial" w:hAnsi="Arial" w:cs="Arial"/>
                                <w:b/>
                                <w:sz w:val="18"/>
                                <w:szCs w:val="18"/>
                                <w:lang w:val="sk-S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88F46" id="_x0000_t202" coordsize="21600,21600" o:spt="202" path="m,l,21600r21600,l21600,xe">
                <v:stroke joinstyle="miter"/>
                <v:path gradientshapeok="t" o:connecttype="rect"/>
              </v:shapetype>
              <v:shape id="Textové pole 13" o:spid="_x0000_s1026" type="#_x0000_t202" style="position:absolute;left:0;text-align:left;margin-left:274.65pt;margin-top:-3.7pt;width:251.25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" fillcolor="white [3201]" stroked="f" strokeweight=".5pt">
                <v:textbox>
                  <w:txbxContent>
                    <w:p w14:paraId="1AFFDCE2" w14:textId="77777777" w:rsidR="00952E97" w:rsidRPr="0078688C" w:rsidRDefault="00952E97" w:rsidP="000A6B60">
                      <w:pPr>
                        <w:jc w:val="both"/>
                        <w:rPr>
                          <w:rFonts w:ascii="Arial" w:hAnsi="Arial" w:cs="Arial"/>
                          <w:b/>
                          <w:sz w:val="18"/>
                          <w:szCs w:val="18"/>
                        </w:rPr>
                      </w:pPr>
                      <w:r w:rsidRPr="00CB54CE">
                        <w:rPr>
                          <w:rFonts w:ascii="Arial" w:hAnsi="Arial" w:cs="Arial"/>
                          <w:b/>
                          <w:sz w:val="18"/>
                          <w:szCs w:val="18"/>
                        </w:rPr>
                        <w:t>Total modern stock according to BRF classification</w:t>
                      </w:r>
                    </w:p>
                    <w:p w14:paraId="26DF7B5B" w14:textId="2B23E473" w:rsidR="00952E97" w:rsidRPr="00765FE3" w:rsidRDefault="00952E97" w:rsidP="00765FE3">
                      <w:pPr>
                        <w:jc w:val="both"/>
                        <w:rPr>
                          <w:rFonts w:ascii="Arial" w:hAnsi="Arial" w:cs="Arial"/>
                          <w:b/>
                          <w:sz w:val="18"/>
                          <w:szCs w:val="18"/>
                          <w:lang w:val="sk-SK"/>
                        </w:rPr>
                      </w:pPr>
                    </w:p>
                  </w:txbxContent>
                </v:textbox>
              </v:shape>
            </w:pict>
          </mc:Fallback>
        </mc:AlternateContent>
      </w:r>
      <w:r w:rsidR="000A6B60">
        <w:rPr>
          <w:rFonts w:ascii="Arial" w:hAnsi="Arial" w:cs="Arial"/>
          <w:b/>
          <w:sz w:val="18"/>
          <w:szCs w:val="18"/>
          <w:lang w:val="sk-SK"/>
        </w:rPr>
        <w:t xml:space="preserve">  </w:t>
      </w:r>
      <w:r w:rsidR="000A6B60" w:rsidRPr="00CB54CE">
        <w:rPr>
          <w:rFonts w:ascii="Arial" w:hAnsi="Arial" w:cs="Arial"/>
          <w:b/>
          <w:sz w:val="18"/>
          <w:szCs w:val="18"/>
        </w:rPr>
        <w:t>Total modern stock according to Bratislava districts</w:t>
      </w:r>
    </w:p>
    <w:p w14:paraId="74FAFAB2" w14:textId="3CFDE4D7" w:rsidR="008407C1" w:rsidRDefault="00440282" w:rsidP="000A6B60">
      <w:pPr>
        <w:jc w:val="both"/>
        <w:rPr>
          <w:rFonts w:ascii="Arial" w:hAnsi="Arial" w:cs="Arial"/>
          <w:b/>
          <w:sz w:val="18"/>
          <w:szCs w:val="18"/>
          <w:lang w:val="sk-SK"/>
        </w:rPr>
      </w:pPr>
      <w:r>
        <w:rPr>
          <w:noProof/>
          <w:lang w:val="en-US"/>
        </w:rPr>
        <w:drawing>
          <wp:anchor distT="0" distB="0" distL="114300" distR="114300" simplePos="0" relativeHeight="251678720" behindDoc="0" locked="0" layoutInCell="1" allowOverlap="1" wp14:anchorId="7BE5F742" wp14:editId="0401BA99">
            <wp:simplePos x="0" y="0"/>
            <wp:positionH relativeFrom="column">
              <wp:posOffset>3568700</wp:posOffset>
            </wp:positionH>
            <wp:positionV relativeFrom="paragraph">
              <wp:posOffset>125095</wp:posOffset>
            </wp:positionV>
            <wp:extent cx="2749550" cy="1809750"/>
            <wp:effectExtent l="0" t="0" r="12700" b="0"/>
            <wp:wrapThrough wrapText="bothSides">
              <wp:wrapPolygon edited="0">
                <wp:start x="0" y="0"/>
                <wp:lineTo x="0" y="21373"/>
                <wp:lineTo x="21550" y="21373"/>
                <wp:lineTo x="21550" y="0"/>
                <wp:lineTo x="0" y="0"/>
              </wp:wrapPolygon>
            </wp:wrapThrough>
            <wp:docPr id="12" name="Chart 12">
              <a:extLst xmlns:a="http://schemas.openxmlformats.org/drawingml/2006/main">
                <a:ext uri="{FF2B5EF4-FFF2-40B4-BE49-F238E27FC236}">
                  <a16:creationId xmlns:a16="http://schemas.microsoft.com/office/drawing/2014/main" id="{0CB94E7D-DB67-4BE0-99A9-52520505A2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C1374CC" w14:textId="3D584596" w:rsidR="00463E3A" w:rsidRPr="005D218F" w:rsidRDefault="00440282" w:rsidP="000A6B60">
      <w:pPr>
        <w:jc w:val="both"/>
        <w:rPr>
          <w:rFonts w:ascii="Arial" w:hAnsi="Arial" w:cs="Arial"/>
          <w:b/>
          <w:sz w:val="18"/>
          <w:szCs w:val="18"/>
          <w:lang w:val="sk-SK"/>
        </w:rPr>
      </w:pPr>
      <w:r>
        <w:rPr>
          <w:noProof/>
          <w:lang w:val="en-US"/>
        </w:rPr>
        <w:drawing>
          <wp:anchor distT="0" distB="0" distL="114300" distR="114300" simplePos="0" relativeHeight="251676672" behindDoc="0" locked="0" layoutInCell="1" allowOverlap="1" wp14:anchorId="66306C59" wp14:editId="588086BD">
            <wp:simplePos x="0" y="0"/>
            <wp:positionH relativeFrom="margin">
              <wp:posOffset>95250</wp:posOffset>
            </wp:positionH>
            <wp:positionV relativeFrom="paragraph">
              <wp:posOffset>5080</wp:posOffset>
            </wp:positionV>
            <wp:extent cx="2743200" cy="1828800"/>
            <wp:effectExtent l="0" t="0" r="0" b="0"/>
            <wp:wrapThrough wrapText="bothSides">
              <wp:wrapPolygon edited="0">
                <wp:start x="0" y="0"/>
                <wp:lineTo x="0" y="21375"/>
                <wp:lineTo x="21450" y="21375"/>
                <wp:lineTo x="21450" y="0"/>
                <wp:lineTo x="0" y="0"/>
              </wp:wrapPolygon>
            </wp:wrapThrough>
            <wp:docPr id="5" name="Chart 5">
              <a:extLst xmlns:a="http://schemas.openxmlformats.org/drawingml/2006/main">
                <a:ext uri="{FF2B5EF4-FFF2-40B4-BE49-F238E27FC236}">
                  <a16:creationId xmlns:a16="http://schemas.microsoft.com/office/drawing/2014/main" id="{4E936223-B124-4029-9281-BD9396ABB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8407C1">
        <w:rPr>
          <w:rFonts w:ascii="Arial" w:hAnsi="Arial" w:cs="Arial"/>
          <w:b/>
          <w:sz w:val="18"/>
          <w:szCs w:val="18"/>
          <w:lang w:val="sk-SK"/>
        </w:rPr>
        <w:t xml:space="preserve">  </w:t>
      </w:r>
      <w:r w:rsidR="00F90D59">
        <w:rPr>
          <w:rFonts w:ascii="Arial" w:hAnsi="Arial" w:cs="Arial"/>
          <w:b/>
          <w:sz w:val="18"/>
          <w:szCs w:val="18"/>
          <w:lang w:val="sk-SK"/>
        </w:rPr>
        <w:t xml:space="preserve">                       </w:t>
      </w:r>
    </w:p>
    <w:p w14:paraId="31747B92" w14:textId="6955F38A" w:rsidR="009D1BD0" w:rsidRDefault="009D1BD0" w:rsidP="009D1BD0">
      <w:pPr>
        <w:jc w:val="both"/>
        <w:rPr>
          <w:rFonts w:ascii="Arial" w:hAnsi="Arial" w:cs="Arial"/>
          <w:sz w:val="18"/>
          <w:szCs w:val="18"/>
          <w:lang w:val="sk-SK"/>
        </w:rPr>
      </w:pPr>
    </w:p>
    <w:p w14:paraId="5434241A" w14:textId="5057F44D" w:rsidR="002914A2" w:rsidRDefault="002914A2" w:rsidP="009D1BD0">
      <w:pPr>
        <w:jc w:val="both"/>
        <w:rPr>
          <w:rFonts w:ascii="Arial" w:hAnsi="Arial" w:cs="Arial"/>
          <w:sz w:val="18"/>
          <w:szCs w:val="18"/>
          <w:lang w:val="sk-SK"/>
        </w:rPr>
      </w:pPr>
    </w:p>
    <w:p w14:paraId="5F3A76F7" w14:textId="509D48C7" w:rsidR="002914A2" w:rsidRDefault="002914A2" w:rsidP="009D1BD0">
      <w:pPr>
        <w:jc w:val="both"/>
        <w:rPr>
          <w:rFonts w:ascii="Arial" w:hAnsi="Arial" w:cs="Arial"/>
          <w:sz w:val="18"/>
          <w:szCs w:val="18"/>
          <w:lang w:val="sk-SK"/>
        </w:rPr>
      </w:pPr>
    </w:p>
    <w:p w14:paraId="5F2BD281" w14:textId="2F37969A" w:rsidR="002914A2" w:rsidRDefault="002914A2" w:rsidP="009D1BD0">
      <w:pPr>
        <w:jc w:val="both"/>
        <w:rPr>
          <w:rFonts w:ascii="Arial" w:hAnsi="Arial" w:cs="Arial"/>
          <w:sz w:val="18"/>
          <w:szCs w:val="18"/>
          <w:lang w:val="sk-SK"/>
        </w:rPr>
      </w:pPr>
    </w:p>
    <w:p w14:paraId="02994F77" w14:textId="4E8A4093" w:rsidR="002914A2" w:rsidRDefault="002914A2" w:rsidP="009D1BD0">
      <w:pPr>
        <w:jc w:val="both"/>
        <w:rPr>
          <w:rFonts w:ascii="Arial" w:hAnsi="Arial" w:cs="Arial"/>
          <w:sz w:val="18"/>
          <w:szCs w:val="18"/>
          <w:lang w:val="sk-SK"/>
        </w:rPr>
      </w:pPr>
    </w:p>
    <w:p w14:paraId="28DC3806" w14:textId="235E08E3" w:rsidR="002914A2" w:rsidRDefault="002914A2" w:rsidP="009D1BD0">
      <w:pPr>
        <w:jc w:val="both"/>
        <w:rPr>
          <w:rFonts w:ascii="Arial" w:hAnsi="Arial" w:cs="Arial"/>
          <w:sz w:val="18"/>
          <w:szCs w:val="18"/>
          <w:lang w:val="sk-SK"/>
        </w:rPr>
      </w:pPr>
    </w:p>
    <w:p w14:paraId="6987A39C" w14:textId="7ABB952C" w:rsidR="002914A2" w:rsidRDefault="002914A2" w:rsidP="009D1BD0">
      <w:pPr>
        <w:jc w:val="both"/>
        <w:rPr>
          <w:rFonts w:ascii="Arial" w:hAnsi="Arial" w:cs="Arial"/>
          <w:sz w:val="18"/>
          <w:szCs w:val="18"/>
          <w:lang w:val="sk-SK"/>
        </w:rPr>
      </w:pPr>
    </w:p>
    <w:p w14:paraId="77AF52BC" w14:textId="1C05FD3F" w:rsidR="002914A2" w:rsidRDefault="002914A2" w:rsidP="009D1BD0">
      <w:pPr>
        <w:jc w:val="both"/>
        <w:rPr>
          <w:rFonts w:ascii="Arial" w:hAnsi="Arial" w:cs="Arial"/>
          <w:sz w:val="18"/>
          <w:szCs w:val="18"/>
          <w:lang w:val="sk-SK"/>
        </w:rPr>
      </w:pPr>
    </w:p>
    <w:p w14:paraId="2CD1129C" w14:textId="6BC3B167" w:rsidR="002914A2" w:rsidRDefault="002914A2" w:rsidP="009D1BD0">
      <w:pPr>
        <w:jc w:val="both"/>
        <w:rPr>
          <w:rFonts w:ascii="Arial" w:hAnsi="Arial" w:cs="Arial"/>
          <w:sz w:val="18"/>
          <w:szCs w:val="18"/>
          <w:lang w:val="sk-SK"/>
        </w:rPr>
      </w:pPr>
    </w:p>
    <w:p w14:paraId="4D79A83D" w14:textId="4F3814AF" w:rsidR="002914A2" w:rsidRDefault="002914A2" w:rsidP="009D1BD0">
      <w:pPr>
        <w:jc w:val="both"/>
        <w:rPr>
          <w:rFonts w:ascii="Arial" w:hAnsi="Arial" w:cs="Arial"/>
          <w:sz w:val="18"/>
          <w:szCs w:val="18"/>
          <w:lang w:val="sk-SK"/>
        </w:rPr>
      </w:pPr>
    </w:p>
    <w:p w14:paraId="357E6653" w14:textId="4D285571" w:rsidR="002914A2" w:rsidRDefault="002914A2" w:rsidP="009D1BD0">
      <w:pPr>
        <w:jc w:val="both"/>
        <w:rPr>
          <w:rFonts w:ascii="Arial" w:hAnsi="Arial" w:cs="Arial"/>
          <w:sz w:val="18"/>
          <w:szCs w:val="18"/>
          <w:lang w:val="sk-SK"/>
        </w:rPr>
      </w:pPr>
      <w:bookmarkStart w:id="2" w:name="_GoBack"/>
      <w:bookmarkEnd w:id="2"/>
    </w:p>
    <w:p w14:paraId="1F62C158" w14:textId="2AA01906" w:rsidR="002914A2" w:rsidRDefault="002914A2" w:rsidP="009D1BD0">
      <w:pPr>
        <w:jc w:val="both"/>
        <w:rPr>
          <w:rFonts w:ascii="Arial" w:hAnsi="Arial" w:cs="Arial"/>
          <w:sz w:val="18"/>
          <w:szCs w:val="18"/>
          <w:lang w:val="sk-SK"/>
        </w:rPr>
      </w:pPr>
    </w:p>
    <w:p w14:paraId="5AECBCAA" w14:textId="470EBC85" w:rsidR="002914A2" w:rsidRDefault="002914A2" w:rsidP="009D1BD0">
      <w:pPr>
        <w:jc w:val="both"/>
        <w:rPr>
          <w:rFonts w:ascii="Arial" w:hAnsi="Arial" w:cs="Arial"/>
          <w:sz w:val="18"/>
          <w:szCs w:val="18"/>
          <w:lang w:val="sk-SK"/>
        </w:rPr>
      </w:pPr>
    </w:p>
    <w:p w14:paraId="1B631056" w14:textId="42767ACD" w:rsidR="002914A2" w:rsidRDefault="002914A2" w:rsidP="009D1BD0">
      <w:pPr>
        <w:jc w:val="both"/>
        <w:rPr>
          <w:rFonts w:ascii="Arial" w:hAnsi="Arial" w:cs="Arial"/>
          <w:sz w:val="18"/>
          <w:szCs w:val="18"/>
          <w:lang w:val="sk-SK"/>
        </w:rPr>
      </w:pPr>
    </w:p>
    <w:p w14:paraId="5651CFDB" w14:textId="77777777" w:rsidR="002914A2" w:rsidRPr="00907D4E" w:rsidRDefault="002914A2" w:rsidP="009D1BD0">
      <w:pPr>
        <w:jc w:val="both"/>
        <w:rPr>
          <w:rFonts w:ascii="Arial" w:hAnsi="Arial" w:cs="Arial"/>
          <w:sz w:val="18"/>
          <w:szCs w:val="18"/>
          <w:lang w:val="sk-SK"/>
        </w:rPr>
      </w:pPr>
    </w:p>
    <w:p w14:paraId="10BE6C70" w14:textId="77777777" w:rsidR="002914A2" w:rsidRDefault="002914A2" w:rsidP="00383177">
      <w:pPr>
        <w:jc w:val="both"/>
        <w:outlineLvl w:val="0"/>
        <w:rPr>
          <w:rFonts w:ascii="Arial" w:hAnsi="Arial" w:cs="Arial"/>
          <w:sz w:val="18"/>
          <w:szCs w:val="18"/>
        </w:rPr>
      </w:pPr>
    </w:p>
    <w:p w14:paraId="1B63C4B8" w14:textId="5E55DD4C" w:rsidR="00803DAF" w:rsidRDefault="0064599F" w:rsidP="00383177">
      <w:pPr>
        <w:jc w:val="both"/>
        <w:outlineLvl w:val="0"/>
        <w:rPr>
          <w:rFonts w:ascii="Arial" w:hAnsi="Arial" w:cs="Arial"/>
          <w:sz w:val="18"/>
          <w:szCs w:val="18"/>
        </w:rPr>
      </w:pPr>
      <w:r>
        <w:rPr>
          <w:rFonts w:ascii="Arial" w:hAnsi="Arial" w:cs="Arial"/>
          <w:sz w:val="18"/>
          <w:szCs w:val="18"/>
        </w:rPr>
        <w:t xml:space="preserve">In the third quarter of 2019, there wasn´t </w:t>
      </w:r>
      <w:r w:rsidR="009233F7">
        <w:rPr>
          <w:rFonts w:ascii="Arial" w:hAnsi="Arial" w:cs="Arial"/>
          <w:sz w:val="18"/>
          <w:szCs w:val="18"/>
        </w:rPr>
        <w:t xml:space="preserve">completed </w:t>
      </w:r>
      <w:r>
        <w:rPr>
          <w:rFonts w:ascii="Arial" w:hAnsi="Arial" w:cs="Arial"/>
          <w:sz w:val="18"/>
          <w:szCs w:val="18"/>
        </w:rPr>
        <w:t>any</w:t>
      </w:r>
      <w:r w:rsidR="00450F1A">
        <w:rPr>
          <w:rFonts w:ascii="Arial" w:hAnsi="Arial" w:cs="Arial"/>
          <w:sz w:val="18"/>
          <w:szCs w:val="18"/>
        </w:rPr>
        <w:t xml:space="preserve"> </w:t>
      </w:r>
      <w:r w:rsidR="00440282">
        <w:rPr>
          <w:rFonts w:ascii="Arial" w:hAnsi="Arial" w:cs="Arial"/>
          <w:sz w:val="18"/>
          <w:szCs w:val="18"/>
        </w:rPr>
        <w:t xml:space="preserve">new </w:t>
      </w:r>
      <w:r w:rsidR="00450F1A">
        <w:rPr>
          <w:rFonts w:ascii="Arial" w:hAnsi="Arial" w:cs="Arial"/>
          <w:sz w:val="18"/>
          <w:szCs w:val="18"/>
        </w:rPr>
        <w:t>office building</w:t>
      </w:r>
      <w:r>
        <w:rPr>
          <w:rFonts w:ascii="Arial" w:hAnsi="Arial" w:cs="Arial"/>
          <w:sz w:val="18"/>
          <w:szCs w:val="18"/>
        </w:rPr>
        <w:t xml:space="preserve"> </w:t>
      </w:r>
      <w:r w:rsidR="00450F1A">
        <w:rPr>
          <w:rFonts w:ascii="Arial" w:hAnsi="Arial" w:cs="Arial"/>
          <w:sz w:val="18"/>
          <w:szCs w:val="18"/>
        </w:rPr>
        <w:t>in Bratislava.</w:t>
      </w:r>
      <w:r w:rsidR="00F90D59">
        <w:rPr>
          <w:rFonts w:ascii="Arial" w:hAnsi="Arial" w:cs="Arial"/>
          <w:sz w:val="18"/>
          <w:szCs w:val="18"/>
        </w:rPr>
        <w:t xml:space="preserve"> </w:t>
      </w:r>
      <w:r w:rsidR="00BC093E">
        <w:rPr>
          <w:rFonts w:ascii="Arial" w:hAnsi="Arial" w:cs="Arial"/>
          <w:sz w:val="18"/>
          <w:szCs w:val="18"/>
        </w:rPr>
        <w:t>T</w:t>
      </w:r>
      <w:r w:rsidR="000965A2">
        <w:rPr>
          <w:rFonts w:ascii="Arial" w:hAnsi="Arial" w:cs="Arial"/>
          <w:sz w:val="18"/>
          <w:szCs w:val="18"/>
        </w:rPr>
        <w:t xml:space="preserve">here are </w:t>
      </w:r>
      <w:r w:rsidR="00440282">
        <w:rPr>
          <w:rFonts w:ascii="Arial" w:hAnsi="Arial" w:cs="Arial"/>
          <w:sz w:val="18"/>
          <w:szCs w:val="18"/>
        </w:rPr>
        <w:t>seven</w:t>
      </w:r>
      <w:r w:rsidR="000965A2">
        <w:rPr>
          <w:rFonts w:ascii="Arial" w:hAnsi="Arial" w:cs="Arial"/>
          <w:sz w:val="18"/>
          <w:szCs w:val="18"/>
        </w:rPr>
        <w:t xml:space="preserve"> office buildings under construction to be completed in 2019/2020</w:t>
      </w:r>
      <w:r w:rsidR="008407C1">
        <w:rPr>
          <w:rFonts w:ascii="Arial" w:hAnsi="Arial" w:cs="Arial"/>
          <w:sz w:val="18"/>
          <w:szCs w:val="18"/>
        </w:rPr>
        <w:t xml:space="preserve"> </w:t>
      </w:r>
      <w:r w:rsidR="000965A2">
        <w:rPr>
          <w:rFonts w:ascii="Arial" w:hAnsi="Arial" w:cs="Arial"/>
          <w:sz w:val="18"/>
          <w:szCs w:val="18"/>
        </w:rPr>
        <w:t xml:space="preserve">and these will bring </w:t>
      </w:r>
      <w:r w:rsidR="009233F7">
        <w:rPr>
          <w:rFonts w:ascii="Arial" w:hAnsi="Arial" w:cs="Arial"/>
          <w:sz w:val="18"/>
          <w:szCs w:val="18"/>
        </w:rPr>
        <w:t xml:space="preserve">approx. </w:t>
      </w:r>
      <w:r w:rsidR="00440282">
        <w:rPr>
          <w:rFonts w:ascii="Arial" w:hAnsi="Arial" w:cs="Arial"/>
          <w:sz w:val="18"/>
          <w:szCs w:val="18"/>
        </w:rPr>
        <w:t>118</w:t>
      </w:r>
      <w:r w:rsidR="000965A2">
        <w:rPr>
          <w:rFonts w:ascii="Arial" w:hAnsi="Arial" w:cs="Arial"/>
          <w:sz w:val="18"/>
          <w:szCs w:val="18"/>
        </w:rPr>
        <w:t xml:space="preserve">,000 </w:t>
      </w:r>
      <w:proofErr w:type="spellStart"/>
      <w:r w:rsidR="000965A2">
        <w:rPr>
          <w:rFonts w:ascii="Arial" w:hAnsi="Arial" w:cs="Arial"/>
          <w:sz w:val="18"/>
          <w:szCs w:val="18"/>
        </w:rPr>
        <w:t>sq</w:t>
      </w:r>
      <w:proofErr w:type="spellEnd"/>
      <w:r w:rsidR="000965A2">
        <w:rPr>
          <w:rFonts w:ascii="Arial" w:hAnsi="Arial" w:cs="Arial"/>
          <w:sz w:val="18"/>
          <w:szCs w:val="18"/>
        </w:rPr>
        <w:t xml:space="preserve"> m of area to </w:t>
      </w:r>
      <w:r w:rsidR="00071BE2">
        <w:rPr>
          <w:rFonts w:ascii="Arial" w:hAnsi="Arial" w:cs="Arial"/>
          <w:sz w:val="18"/>
          <w:szCs w:val="18"/>
        </w:rPr>
        <w:t xml:space="preserve">the </w:t>
      </w:r>
      <w:r w:rsidR="000965A2">
        <w:rPr>
          <w:rFonts w:ascii="Arial" w:hAnsi="Arial" w:cs="Arial"/>
          <w:sz w:val="18"/>
          <w:szCs w:val="18"/>
        </w:rPr>
        <w:t>Bratislava office market.</w:t>
      </w:r>
    </w:p>
    <w:p w14:paraId="069F3AE6" w14:textId="77777777" w:rsidR="00472431" w:rsidRPr="00472431" w:rsidRDefault="00472431" w:rsidP="00383177">
      <w:pPr>
        <w:jc w:val="both"/>
        <w:outlineLvl w:val="0"/>
        <w:rPr>
          <w:rFonts w:ascii="Arial" w:hAnsi="Arial" w:cs="Arial"/>
          <w:sz w:val="18"/>
          <w:szCs w:val="18"/>
        </w:rPr>
      </w:pPr>
    </w:p>
    <w:p w14:paraId="5D7E966B" w14:textId="38EDD8FE" w:rsidR="00765FE3" w:rsidRDefault="00765FE3" w:rsidP="00383177">
      <w:pPr>
        <w:jc w:val="both"/>
        <w:outlineLvl w:val="0"/>
        <w:rPr>
          <w:rFonts w:ascii="Arial" w:hAnsi="Arial" w:cs="Arial"/>
          <w:sz w:val="18"/>
          <w:szCs w:val="18"/>
          <w:lang w:val="sk-SK"/>
        </w:rPr>
      </w:pPr>
    </w:p>
    <w:p w14:paraId="3235FA02" w14:textId="2A30D603" w:rsidR="006C2826" w:rsidRPr="0078688C" w:rsidRDefault="006C2826" w:rsidP="006C2826">
      <w:pPr>
        <w:jc w:val="both"/>
        <w:rPr>
          <w:rFonts w:ascii="Arial" w:hAnsi="Arial" w:cs="Arial"/>
          <w:b/>
        </w:rPr>
      </w:pPr>
      <w:r w:rsidRPr="00CB54CE">
        <w:rPr>
          <w:rFonts w:ascii="Arial" w:hAnsi="Arial" w:cs="Arial"/>
          <w:b/>
        </w:rPr>
        <w:t>Green Certified Buildings</w:t>
      </w:r>
    </w:p>
    <w:p w14:paraId="50CF6CFC" w14:textId="77777777" w:rsidR="00803DAF" w:rsidRPr="005D218F" w:rsidRDefault="00803DAF" w:rsidP="00803DAF">
      <w:pPr>
        <w:jc w:val="both"/>
        <w:rPr>
          <w:rFonts w:ascii="Arial" w:hAnsi="Arial" w:cs="Arial"/>
          <w:sz w:val="18"/>
          <w:szCs w:val="18"/>
          <w:lang w:val="sk-SK"/>
        </w:rPr>
      </w:pPr>
    </w:p>
    <w:p w14:paraId="3C39E318" w14:textId="6EED8C3C" w:rsidR="006C2826" w:rsidRDefault="003B33C6" w:rsidP="006C2826">
      <w:pPr>
        <w:jc w:val="both"/>
        <w:rPr>
          <w:rFonts w:ascii="Arial" w:hAnsi="Arial" w:cs="Arial"/>
          <w:sz w:val="18"/>
          <w:szCs w:val="18"/>
        </w:rPr>
      </w:pPr>
      <w:r>
        <w:rPr>
          <w:rFonts w:ascii="Arial" w:hAnsi="Arial" w:cs="Arial"/>
          <w:sz w:val="18"/>
          <w:szCs w:val="18"/>
        </w:rPr>
        <w:t>Within</w:t>
      </w:r>
      <w:r w:rsidR="00071BE2">
        <w:rPr>
          <w:rFonts w:ascii="Arial" w:hAnsi="Arial" w:cs="Arial"/>
          <w:sz w:val="18"/>
          <w:szCs w:val="18"/>
        </w:rPr>
        <w:t xml:space="preserve"> the</w:t>
      </w:r>
      <w:r>
        <w:rPr>
          <w:rFonts w:ascii="Arial" w:hAnsi="Arial" w:cs="Arial"/>
          <w:sz w:val="18"/>
          <w:szCs w:val="18"/>
        </w:rPr>
        <w:t xml:space="preserve"> total</w:t>
      </w:r>
      <w:r w:rsidR="00E1127F">
        <w:rPr>
          <w:rFonts w:ascii="Arial" w:hAnsi="Arial" w:cs="Arial"/>
          <w:sz w:val="18"/>
          <w:szCs w:val="18"/>
        </w:rPr>
        <w:t xml:space="preserve"> office</w:t>
      </w:r>
      <w:r>
        <w:rPr>
          <w:rFonts w:ascii="Arial" w:hAnsi="Arial" w:cs="Arial"/>
          <w:sz w:val="18"/>
          <w:szCs w:val="18"/>
        </w:rPr>
        <w:t xml:space="preserve"> </w:t>
      </w:r>
      <w:r w:rsidR="00F76371">
        <w:rPr>
          <w:rFonts w:ascii="Arial" w:hAnsi="Arial" w:cs="Arial"/>
          <w:sz w:val="18"/>
          <w:szCs w:val="18"/>
        </w:rPr>
        <w:t>stock 3</w:t>
      </w:r>
      <w:r w:rsidR="0029146B">
        <w:rPr>
          <w:rFonts w:ascii="Arial" w:hAnsi="Arial" w:cs="Arial"/>
          <w:sz w:val="18"/>
          <w:szCs w:val="18"/>
        </w:rPr>
        <w:t>2</w:t>
      </w:r>
      <w:r w:rsidR="006C2826" w:rsidRPr="0078287D">
        <w:rPr>
          <w:rFonts w:ascii="Arial" w:hAnsi="Arial" w:cs="Arial"/>
          <w:sz w:val="18"/>
          <w:szCs w:val="18"/>
        </w:rPr>
        <w:t xml:space="preserve"> buildings</w:t>
      </w:r>
      <w:r w:rsidR="00E1127F">
        <w:rPr>
          <w:rFonts w:ascii="Arial" w:hAnsi="Arial" w:cs="Arial"/>
          <w:sz w:val="18"/>
          <w:szCs w:val="18"/>
        </w:rPr>
        <w:t>,</w:t>
      </w:r>
      <w:r w:rsidR="006C2826" w:rsidRPr="0078287D">
        <w:rPr>
          <w:rFonts w:ascii="Arial" w:hAnsi="Arial" w:cs="Arial"/>
          <w:sz w:val="18"/>
          <w:szCs w:val="18"/>
        </w:rPr>
        <w:t xml:space="preserve"> representing </w:t>
      </w:r>
      <w:r w:rsidR="00F61AE0">
        <w:rPr>
          <w:rFonts w:ascii="Arial" w:hAnsi="Arial" w:cs="Arial"/>
          <w:sz w:val="18"/>
          <w:szCs w:val="18"/>
        </w:rPr>
        <w:t>more than</w:t>
      </w:r>
      <w:r w:rsidR="006C2826" w:rsidRPr="0078287D">
        <w:rPr>
          <w:rFonts w:ascii="Arial" w:hAnsi="Arial" w:cs="Arial"/>
          <w:sz w:val="18"/>
          <w:szCs w:val="18"/>
        </w:rPr>
        <w:t xml:space="preserve"> </w:t>
      </w:r>
      <w:r w:rsidR="00731084">
        <w:rPr>
          <w:rFonts w:ascii="Arial" w:hAnsi="Arial" w:cs="Arial"/>
          <w:sz w:val="18"/>
          <w:szCs w:val="18"/>
        </w:rPr>
        <w:t>621</w:t>
      </w:r>
      <w:r w:rsidR="00E1127F">
        <w:rPr>
          <w:rFonts w:ascii="Arial" w:hAnsi="Arial" w:cs="Arial"/>
          <w:sz w:val="18"/>
          <w:szCs w:val="18"/>
        </w:rPr>
        <w:t>,</w:t>
      </w:r>
      <w:r w:rsidR="006C2826" w:rsidRPr="0078287D">
        <w:rPr>
          <w:rFonts w:ascii="Arial" w:hAnsi="Arial" w:cs="Arial"/>
          <w:sz w:val="18"/>
          <w:szCs w:val="18"/>
        </w:rPr>
        <w:t xml:space="preserve">000 </w:t>
      </w:r>
      <w:proofErr w:type="spellStart"/>
      <w:r w:rsidR="006C2826" w:rsidRPr="0078287D">
        <w:rPr>
          <w:rFonts w:ascii="Arial" w:hAnsi="Arial" w:cs="Arial"/>
          <w:sz w:val="18"/>
          <w:szCs w:val="18"/>
        </w:rPr>
        <w:t>sq</w:t>
      </w:r>
      <w:proofErr w:type="spellEnd"/>
      <w:r w:rsidR="00217191" w:rsidRPr="0078287D">
        <w:rPr>
          <w:rFonts w:ascii="Arial" w:hAnsi="Arial" w:cs="Arial"/>
          <w:sz w:val="18"/>
          <w:szCs w:val="18"/>
        </w:rPr>
        <w:t xml:space="preserve"> </w:t>
      </w:r>
      <w:r w:rsidR="006C2826" w:rsidRPr="0078287D">
        <w:rPr>
          <w:rFonts w:ascii="Arial" w:hAnsi="Arial" w:cs="Arial"/>
          <w:sz w:val="18"/>
          <w:szCs w:val="18"/>
        </w:rPr>
        <w:t>m</w:t>
      </w:r>
      <w:r w:rsidRPr="0078287D">
        <w:rPr>
          <w:rFonts w:ascii="Arial" w:hAnsi="Arial" w:cs="Arial"/>
          <w:sz w:val="18"/>
          <w:szCs w:val="18"/>
        </w:rPr>
        <w:t xml:space="preserve"> or </w:t>
      </w:r>
      <w:r w:rsidR="00F61AE0">
        <w:rPr>
          <w:rFonts w:ascii="Arial" w:hAnsi="Arial" w:cs="Arial"/>
          <w:sz w:val="18"/>
          <w:szCs w:val="18"/>
        </w:rPr>
        <w:t xml:space="preserve">approx. </w:t>
      </w:r>
      <w:r w:rsidR="00663119">
        <w:rPr>
          <w:rFonts w:ascii="Arial" w:hAnsi="Arial" w:cs="Arial"/>
          <w:sz w:val="18"/>
          <w:szCs w:val="18"/>
        </w:rPr>
        <w:t>3</w:t>
      </w:r>
      <w:r w:rsidR="0064599F">
        <w:rPr>
          <w:rFonts w:ascii="Arial" w:hAnsi="Arial" w:cs="Arial"/>
          <w:sz w:val="18"/>
          <w:szCs w:val="18"/>
        </w:rPr>
        <w:t>4</w:t>
      </w:r>
      <w:r w:rsidR="006C2826" w:rsidRPr="0078287D">
        <w:rPr>
          <w:rFonts w:ascii="Arial" w:hAnsi="Arial" w:cs="Arial"/>
          <w:sz w:val="18"/>
          <w:szCs w:val="18"/>
        </w:rPr>
        <w:t>% of the total stock</w:t>
      </w:r>
      <w:r w:rsidR="00F61AE0">
        <w:rPr>
          <w:rFonts w:ascii="Arial" w:hAnsi="Arial" w:cs="Arial"/>
          <w:sz w:val="18"/>
          <w:szCs w:val="18"/>
        </w:rPr>
        <w:t>,</w:t>
      </w:r>
      <w:r w:rsidR="006C2826" w:rsidRPr="0078287D">
        <w:rPr>
          <w:rFonts w:ascii="Arial" w:hAnsi="Arial" w:cs="Arial"/>
          <w:sz w:val="18"/>
          <w:szCs w:val="18"/>
        </w:rPr>
        <w:t xml:space="preserve"> have secured certification as green/sustainable developments</w:t>
      </w:r>
      <w:r w:rsidR="006C2826" w:rsidRPr="00CB54CE">
        <w:rPr>
          <w:rFonts w:ascii="Arial" w:hAnsi="Arial" w:cs="Arial"/>
          <w:sz w:val="18"/>
          <w:szCs w:val="18"/>
        </w:rPr>
        <w:t xml:space="preserve"> – either LEED or BREEAM ratings. </w:t>
      </w:r>
    </w:p>
    <w:p w14:paraId="04C7B24B" w14:textId="77777777" w:rsidR="00472431" w:rsidRPr="0078688C" w:rsidRDefault="00472431" w:rsidP="006C2826">
      <w:pPr>
        <w:jc w:val="both"/>
        <w:rPr>
          <w:rFonts w:ascii="Arial" w:hAnsi="Arial" w:cs="Arial"/>
          <w:sz w:val="18"/>
          <w:szCs w:val="18"/>
        </w:rPr>
      </w:pPr>
    </w:p>
    <w:p w14:paraId="124ADF8C" w14:textId="22041B82" w:rsidR="006A4F3A" w:rsidRDefault="006A4F3A" w:rsidP="006C2826">
      <w:pPr>
        <w:jc w:val="both"/>
        <w:outlineLvl w:val="0"/>
        <w:rPr>
          <w:rFonts w:ascii="Arial" w:hAnsi="Arial" w:cs="Arial"/>
          <w:b/>
          <w:bCs/>
        </w:rPr>
      </w:pPr>
    </w:p>
    <w:p w14:paraId="1D107D9B" w14:textId="1671985E" w:rsidR="004E664D" w:rsidRDefault="006C2826" w:rsidP="00472431">
      <w:pPr>
        <w:jc w:val="both"/>
        <w:outlineLvl w:val="0"/>
        <w:rPr>
          <w:rFonts w:ascii="Arial" w:hAnsi="Arial" w:cs="Arial"/>
          <w:b/>
          <w:bCs/>
        </w:rPr>
      </w:pPr>
      <w:r w:rsidRPr="00CB54CE">
        <w:rPr>
          <w:rFonts w:ascii="Arial" w:hAnsi="Arial" w:cs="Arial"/>
          <w:b/>
          <w:bCs/>
        </w:rPr>
        <w:t>Transactions on the Office space market (Office Take-up)</w:t>
      </w:r>
    </w:p>
    <w:p w14:paraId="1EEF1BED" w14:textId="77777777" w:rsidR="00472431" w:rsidRPr="00472431" w:rsidRDefault="00472431" w:rsidP="00472431">
      <w:pPr>
        <w:jc w:val="both"/>
        <w:outlineLvl w:val="0"/>
        <w:rPr>
          <w:rFonts w:ascii="Arial" w:hAnsi="Arial" w:cs="Arial"/>
          <w:b/>
          <w:bCs/>
        </w:rPr>
      </w:pPr>
    </w:p>
    <w:p w14:paraId="432F057F" w14:textId="1C71FD7C" w:rsidR="006C2826" w:rsidRPr="00E20F80" w:rsidRDefault="006C2826" w:rsidP="006C2826">
      <w:pPr>
        <w:spacing w:after="120"/>
        <w:jc w:val="both"/>
        <w:rPr>
          <w:sz w:val="18"/>
          <w:szCs w:val="18"/>
        </w:rPr>
      </w:pPr>
      <w:r w:rsidRPr="00E20F80">
        <w:rPr>
          <w:rFonts w:ascii="Arial" w:hAnsi="Arial" w:cs="Arial"/>
          <w:sz w:val="18"/>
          <w:szCs w:val="18"/>
          <w:lang w:eastAsia="cs-CZ"/>
        </w:rPr>
        <w:t>Transactions that ha</w:t>
      </w:r>
      <w:r>
        <w:rPr>
          <w:rFonts w:ascii="Arial" w:hAnsi="Arial" w:cs="Arial"/>
          <w:sz w:val="18"/>
          <w:szCs w:val="18"/>
          <w:lang w:eastAsia="cs-CZ"/>
        </w:rPr>
        <w:t>ve</w:t>
      </w:r>
      <w:r w:rsidRPr="00E20F80">
        <w:rPr>
          <w:rFonts w:ascii="Arial" w:hAnsi="Arial" w:cs="Arial"/>
          <w:sz w:val="18"/>
          <w:szCs w:val="18"/>
          <w:lang w:eastAsia="cs-CZ"/>
        </w:rPr>
        <w:t xml:space="preserve"> been </w:t>
      </w:r>
      <w:r w:rsidRPr="0078287D">
        <w:rPr>
          <w:rFonts w:ascii="Arial" w:hAnsi="Arial" w:cs="Arial"/>
          <w:sz w:val="18"/>
          <w:szCs w:val="18"/>
          <w:lang w:eastAsia="cs-CZ"/>
        </w:rPr>
        <w:t xml:space="preserve">concluded in the </w:t>
      </w:r>
      <w:r w:rsidR="0064599F">
        <w:rPr>
          <w:rFonts w:ascii="Arial" w:hAnsi="Arial" w:cs="Arial"/>
          <w:sz w:val="18"/>
          <w:szCs w:val="18"/>
          <w:lang w:eastAsia="cs-CZ"/>
        </w:rPr>
        <w:t>third</w:t>
      </w:r>
      <w:r w:rsidR="00793EB9">
        <w:rPr>
          <w:rFonts w:ascii="Arial" w:hAnsi="Arial" w:cs="Arial"/>
          <w:sz w:val="18"/>
          <w:szCs w:val="18"/>
          <w:lang w:eastAsia="cs-CZ"/>
        </w:rPr>
        <w:t xml:space="preserve"> </w:t>
      </w:r>
      <w:r w:rsidRPr="0078287D">
        <w:rPr>
          <w:rFonts w:ascii="Arial" w:hAnsi="Arial" w:cs="Arial"/>
          <w:sz w:val="18"/>
          <w:szCs w:val="18"/>
          <w:lang w:eastAsia="cs-CZ"/>
        </w:rPr>
        <w:t>quarter of 201</w:t>
      </w:r>
      <w:r w:rsidR="000965A2">
        <w:rPr>
          <w:rFonts w:ascii="Arial" w:hAnsi="Arial" w:cs="Arial"/>
          <w:sz w:val="18"/>
          <w:szCs w:val="18"/>
          <w:lang w:eastAsia="cs-CZ"/>
        </w:rPr>
        <w:t>9</w:t>
      </w:r>
      <w:r w:rsidRPr="0078287D">
        <w:rPr>
          <w:rFonts w:ascii="Arial" w:hAnsi="Arial" w:cs="Arial"/>
          <w:sz w:val="18"/>
          <w:szCs w:val="18"/>
          <w:lang w:eastAsia="cs-CZ"/>
        </w:rPr>
        <w:t xml:space="preserve"> amount</w:t>
      </w:r>
      <w:r w:rsidR="00731084">
        <w:rPr>
          <w:rFonts w:ascii="Arial" w:hAnsi="Arial" w:cs="Arial"/>
          <w:sz w:val="18"/>
          <w:szCs w:val="18"/>
          <w:lang w:eastAsia="cs-CZ"/>
        </w:rPr>
        <w:t xml:space="preserve"> </w:t>
      </w:r>
      <w:r w:rsidR="00440282">
        <w:rPr>
          <w:rFonts w:ascii="Arial" w:hAnsi="Arial" w:cs="Arial"/>
          <w:sz w:val="18"/>
          <w:szCs w:val="18"/>
          <w:lang w:eastAsia="cs-CZ"/>
        </w:rPr>
        <w:t xml:space="preserve">almost </w:t>
      </w:r>
      <w:r w:rsidR="0064599F">
        <w:rPr>
          <w:rFonts w:ascii="Arial" w:hAnsi="Arial" w:cs="Arial"/>
          <w:sz w:val="18"/>
          <w:szCs w:val="18"/>
          <w:lang w:eastAsia="cs-CZ"/>
        </w:rPr>
        <w:t>27</w:t>
      </w:r>
      <w:r w:rsidR="00440282">
        <w:rPr>
          <w:rFonts w:ascii="Arial" w:hAnsi="Arial" w:cs="Arial"/>
          <w:sz w:val="18"/>
          <w:szCs w:val="18"/>
          <w:lang w:eastAsia="cs-CZ"/>
        </w:rPr>
        <w:t>,000</w:t>
      </w:r>
      <w:r w:rsidRPr="0078287D">
        <w:rPr>
          <w:rFonts w:ascii="Arial" w:hAnsi="Arial" w:cs="Arial"/>
          <w:sz w:val="18"/>
          <w:szCs w:val="18"/>
          <w:lang w:eastAsia="cs-CZ"/>
        </w:rPr>
        <w:t xml:space="preserve"> </w:t>
      </w:r>
      <w:proofErr w:type="spellStart"/>
      <w:r w:rsidRPr="0078287D">
        <w:rPr>
          <w:rFonts w:ascii="Arial" w:hAnsi="Arial" w:cs="Arial"/>
          <w:sz w:val="18"/>
          <w:szCs w:val="18"/>
          <w:lang w:eastAsia="cs-CZ"/>
        </w:rPr>
        <w:t>sq</w:t>
      </w:r>
      <w:proofErr w:type="spellEnd"/>
      <w:r w:rsidR="00217191" w:rsidRPr="0078287D">
        <w:rPr>
          <w:rFonts w:ascii="Arial" w:hAnsi="Arial" w:cs="Arial"/>
          <w:sz w:val="18"/>
          <w:szCs w:val="18"/>
          <w:lang w:eastAsia="cs-CZ"/>
        </w:rPr>
        <w:t xml:space="preserve"> </w:t>
      </w:r>
      <w:r w:rsidRPr="0078287D">
        <w:rPr>
          <w:rFonts w:ascii="Arial" w:hAnsi="Arial" w:cs="Arial"/>
          <w:sz w:val="18"/>
          <w:szCs w:val="18"/>
          <w:lang w:eastAsia="cs-CZ"/>
        </w:rPr>
        <w:t>m, which represents</w:t>
      </w:r>
      <w:r w:rsidR="0064599F">
        <w:rPr>
          <w:rFonts w:ascii="Arial" w:hAnsi="Arial" w:cs="Arial"/>
          <w:sz w:val="18"/>
          <w:szCs w:val="18"/>
          <w:lang w:eastAsia="cs-CZ"/>
        </w:rPr>
        <w:t xml:space="preserve"> 68</w:t>
      </w:r>
      <w:r w:rsidR="00440282">
        <w:rPr>
          <w:rFonts w:ascii="Arial" w:hAnsi="Arial" w:cs="Arial"/>
          <w:sz w:val="18"/>
          <w:szCs w:val="18"/>
          <w:lang w:val="en-US" w:eastAsia="cs-CZ"/>
        </w:rPr>
        <w:t xml:space="preserve">% </w:t>
      </w:r>
      <w:r w:rsidR="0064599F">
        <w:rPr>
          <w:rFonts w:ascii="Arial" w:hAnsi="Arial" w:cs="Arial"/>
          <w:sz w:val="18"/>
          <w:szCs w:val="18"/>
          <w:lang w:val="en-US" w:eastAsia="cs-CZ"/>
        </w:rPr>
        <w:t>de</w:t>
      </w:r>
      <w:r w:rsidR="00440282">
        <w:rPr>
          <w:rFonts w:ascii="Arial" w:hAnsi="Arial" w:cs="Arial"/>
          <w:sz w:val="18"/>
          <w:szCs w:val="18"/>
          <w:lang w:val="en-US" w:eastAsia="cs-CZ"/>
        </w:rPr>
        <w:t xml:space="preserve">crease </w:t>
      </w:r>
      <w:r w:rsidR="000965A2">
        <w:rPr>
          <w:rFonts w:ascii="Arial" w:hAnsi="Arial" w:cs="Arial"/>
          <w:sz w:val="18"/>
          <w:szCs w:val="18"/>
          <w:lang w:eastAsia="cs-CZ"/>
        </w:rPr>
        <w:t xml:space="preserve">of the let area </w:t>
      </w:r>
      <w:r w:rsidRPr="0078287D">
        <w:rPr>
          <w:rFonts w:ascii="Arial" w:hAnsi="Arial" w:cs="Arial"/>
          <w:sz w:val="18"/>
          <w:szCs w:val="18"/>
          <w:lang w:eastAsia="cs-CZ"/>
        </w:rPr>
        <w:t>compa</w:t>
      </w:r>
      <w:r w:rsidR="008407C1">
        <w:rPr>
          <w:rFonts w:ascii="Arial" w:hAnsi="Arial" w:cs="Arial"/>
          <w:sz w:val="18"/>
          <w:szCs w:val="18"/>
          <w:lang w:eastAsia="cs-CZ"/>
        </w:rPr>
        <w:t xml:space="preserve">red to the previous quarter. </w:t>
      </w:r>
      <w:r w:rsidR="00A52ADF">
        <w:rPr>
          <w:rFonts w:ascii="Arial" w:hAnsi="Arial" w:cs="Arial"/>
          <w:sz w:val="18"/>
          <w:szCs w:val="18"/>
          <w:lang w:eastAsia="cs-CZ"/>
        </w:rPr>
        <w:t>Renegotiations</w:t>
      </w:r>
      <w:r w:rsidRPr="0078287D">
        <w:rPr>
          <w:rFonts w:ascii="Arial" w:hAnsi="Arial" w:cs="Arial"/>
          <w:sz w:val="18"/>
          <w:szCs w:val="18"/>
          <w:lang w:eastAsia="cs-CZ"/>
        </w:rPr>
        <w:t xml:space="preserve"> represented </w:t>
      </w:r>
      <w:r w:rsidR="0064599F">
        <w:rPr>
          <w:rFonts w:ascii="Arial" w:hAnsi="Arial" w:cs="Arial"/>
          <w:sz w:val="18"/>
          <w:szCs w:val="18"/>
          <w:lang w:eastAsia="cs-CZ"/>
        </w:rPr>
        <w:t>46</w:t>
      </w:r>
      <w:r w:rsidRPr="0078287D">
        <w:rPr>
          <w:rFonts w:ascii="Arial" w:hAnsi="Arial" w:cs="Arial"/>
          <w:sz w:val="18"/>
          <w:szCs w:val="18"/>
          <w:lang w:eastAsia="cs-CZ"/>
        </w:rPr>
        <w:t xml:space="preserve">% of all transactions, </w:t>
      </w:r>
      <w:r w:rsidR="00A52ADF">
        <w:rPr>
          <w:rFonts w:ascii="Arial" w:hAnsi="Arial" w:cs="Arial"/>
          <w:sz w:val="18"/>
          <w:szCs w:val="18"/>
          <w:lang w:eastAsia="cs-CZ"/>
        </w:rPr>
        <w:t>new leases</w:t>
      </w:r>
      <w:r w:rsidR="00793EB9" w:rsidRPr="0078287D">
        <w:rPr>
          <w:rFonts w:ascii="Arial" w:hAnsi="Arial" w:cs="Arial"/>
          <w:sz w:val="18"/>
          <w:szCs w:val="18"/>
          <w:lang w:eastAsia="cs-CZ"/>
        </w:rPr>
        <w:t xml:space="preserve"> </w:t>
      </w:r>
      <w:r w:rsidR="00071BE2">
        <w:rPr>
          <w:rFonts w:ascii="Arial" w:hAnsi="Arial" w:cs="Arial"/>
          <w:sz w:val="18"/>
          <w:szCs w:val="18"/>
          <w:lang w:eastAsia="cs-CZ"/>
        </w:rPr>
        <w:t>secured</w:t>
      </w:r>
      <w:r w:rsidR="00071BE2" w:rsidRPr="0078287D">
        <w:rPr>
          <w:rFonts w:ascii="Arial" w:hAnsi="Arial" w:cs="Arial"/>
          <w:sz w:val="18"/>
          <w:szCs w:val="18"/>
          <w:lang w:eastAsia="cs-CZ"/>
        </w:rPr>
        <w:t xml:space="preserve"> </w:t>
      </w:r>
      <w:r w:rsidR="0064599F">
        <w:rPr>
          <w:rFonts w:ascii="Arial" w:hAnsi="Arial" w:cs="Arial"/>
          <w:sz w:val="18"/>
          <w:szCs w:val="18"/>
          <w:lang w:eastAsia="cs-CZ"/>
        </w:rPr>
        <w:t>41</w:t>
      </w:r>
      <w:r w:rsidR="00793EB9" w:rsidRPr="0078287D">
        <w:rPr>
          <w:rFonts w:ascii="Arial" w:hAnsi="Arial" w:cs="Arial"/>
          <w:sz w:val="18"/>
          <w:szCs w:val="18"/>
          <w:lang w:eastAsia="cs-CZ"/>
        </w:rPr>
        <w:t>%</w:t>
      </w:r>
      <w:r w:rsidR="0064599F">
        <w:rPr>
          <w:rFonts w:ascii="Arial" w:hAnsi="Arial" w:cs="Arial"/>
          <w:sz w:val="18"/>
          <w:szCs w:val="18"/>
          <w:lang w:eastAsia="cs-CZ"/>
        </w:rPr>
        <w:t>, pre-leases represented 8%</w:t>
      </w:r>
      <w:r w:rsidR="00A52ADF">
        <w:rPr>
          <w:rFonts w:ascii="Arial" w:hAnsi="Arial" w:cs="Arial"/>
          <w:sz w:val="18"/>
          <w:szCs w:val="18"/>
          <w:lang w:eastAsia="cs-CZ"/>
        </w:rPr>
        <w:t xml:space="preserve"> and share of </w:t>
      </w:r>
      <w:r w:rsidR="0064599F">
        <w:rPr>
          <w:rFonts w:ascii="Arial" w:hAnsi="Arial" w:cs="Arial"/>
          <w:sz w:val="18"/>
          <w:szCs w:val="18"/>
          <w:lang w:eastAsia="cs-CZ"/>
        </w:rPr>
        <w:t>5</w:t>
      </w:r>
      <w:r w:rsidR="00A52ADF">
        <w:rPr>
          <w:rFonts w:ascii="Arial" w:hAnsi="Arial" w:cs="Arial"/>
          <w:sz w:val="18"/>
          <w:szCs w:val="18"/>
          <w:lang w:eastAsia="cs-CZ"/>
        </w:rPr>
        <w:t>% was attributed to expansions</w:t>
      </w:r>
      <w:r w:rsidRPr="00E20F80">
        <w:rPr>
          <w:rFonts w:ascii="Arial" w:hAnsi="Arial" w:cs="Arial"/>
          <w:sz w:val="18"/>
          <w:szCs w:val="18"/>
          <w:lang w:eastAsia="cs-CZ"/>
        </w:rPr>
        <w:t>.</w:t>
      </w:r>
    </w:p>
    <w:p w14:paraId="7DF2A842" w14:textId="12431250" w:rsidR="006C2826" w:rsidRPr="00925F8A" w:rsidRDefault="004C24CF" w:rsidP="006C2826">
      <w:pPr>
        <w:autoSpaceDE w:val="0"/>
        <w:autoSpaceDN w:val="0"/>
        <w:adjustRightInd w:val="0"/>
        <w:spacing w:after="120"/>
        <w:jc w:val="both"/>
        <w:rPr>
          <w:rFonts w:ascii="Arial" w:eastAsia="SimSun" w:hAnsi="Arial" w:cs="Arial"/>
          <w:sz w:val="18"/>
          <w:szCs w:val="18"/>
          <w:lang w:eastAsia="sk-SK"/>
        </w:rPr>
      </w:pPr>
      <w:r>
        <w:rPr>
          <w:rFonts w:ascii="Arial" w:hAnsi="Arial"/>
          <w:sz w:val="18"/>
          <w:szCs w:val="18"/>
        </w:rPr>
        <w:t xml:space="preserve">There were </w:t>
      </w:r>
      <w:r w:rsidR="0064599F">
        <w:rPr>
          <w:rFonts w:ascii="Arial" w:hAnsi="Arial"/>
          <w:sz w:val="18"/>
          <w:szCs w:val="18"/>
        </w:rPr>
        <w:t>three</w:t>
      </w:r>
      <w:r>
        <w:rPr>
          <w:rFonts w:ascii="Arial" w:hAnsi="Arial"/>
          <w:sz w:val="18"/>
          <w:szCs w:val="18"/>
        </w:rPr>
        <w:t xml:space="preserve"> big</w:t>
      </w:r>
      <w:r w:rsidR="0064599F">
        <w:rPr>
          <w:rFonts w:ascii="Arial" w:hAnsi="Arial"/>
          <w:sz w:val="18"/>
          <w:szCs w:val="18"/>
        </w:rPr>
        <w:t>ger</w:t>
      </w:r>
      <w:r>
        <w:rPr>
          <w:rFonts w:ascii="Arial" w:hAnsi="Arial"/>
          <w:sz w:val="18"/>
          <w:szCs w:val="18"/>
        </w:rPr>
        <w:t xml:space="preserve"> </w:t>
      </w:r>
      <w:r w:rsidR="006C2826" w:rsidRPr="0078287D">
        <w:rPr>
          <w:rFonts w:ascii="Arial" w:hAnsi="Arial"/>
          <w:sz w:val="18"/>
          <w:szCs w:val="18"/>
        </w:rPr>
        <w:t xml:space="preserve">leasing transaction </w:t>
      </w:r>
      <w:r w:rsidR="00BF7080" w:rsidRPr="0078287D">
        <w:rPr>
          <w:rFonts w:ascii="Arial" w:hAnsi="Arial"/>
          <w:sz w:val="18"/>
          <w:szCs w:val="18"/>
        </w:rPr>
        <w:t>(</w:t>
      </w:r>
      <w:r w:rsidR="009D2AA2">
        <w:rPr>
          <w:rFonts w:ascii="Arial" w:hAnsi="Arial"/>
          <w:sz w:val="18"/>
          <w:szCs w:val="18"/>
        </w:rPr>
        <w:t>renegotiation</w:t>
      </w:r>
      <w:r>
        <w:rPr>
          <w:rFonts w:ascii="Arial" w:hAnsi="Arial"/>
          <w:sz w:val="18"/>
          <w:szCs w:val="18"/>
        </w:rPr>
        <w:t>s</w:t>
      </w:r>
      <w:r w:rsidR="00BF7080" w:rsidRPr="0078287D">
        <w:rPr>
          <w:rFonts w:ascii="Arial" w:hAnsi="Arial"/>
          <w:sz w:val="18"/>
          <w:szCs w:val="18"/>
        </w:rPr>
        <w:t xml:space="preserve">) </w:t>
      </w:r>
      <w:r w:rsidR="006C2826" w:rsidRPr="0078287D">
        <w:rPr>
          <w:rFonts w:ascii="Arial" w:hAnsi="Arial"/>
          <w:sz w:val="18"/>
          <w:szCs w:val="18"/>
        </w:rPr>
        <w:t xml:space="preserve">recorded </w:t>
      </w:r>
      <w:r w:rsidR="00303AAA">
        <w:rPr>
          <w:rFonts w:ascii="Arial" w:hAnsi="Arial"/>
          <w:sz w:val="18"/>
          <w:szCs w:val="18"/>
        </w:rPr>
        <w:t xml:space="preserve">in a total size of </w:t>
      </w:r>
      <w:r w:rsidR="0064599F">
        <w:rPr>
          <w:rFonts w:ascii="Arial" w:hAnsi="Arial"/>
          <w:sz w:val="18"/>
          <w:szCs w:val="18"/>
        </w:rPr>
        <w:t>4,000</w:t>
      </w:r>
      <w:r w:rsidR="00731084">
        <w:rPr>
          <w:rFonts w:ascii="Arial" w:hAnsi="Arial"/>
          <w:sz w:val="18"/>
          <w:szCs w:val="18"/>
        </w:rPr>
        <w:t xml:space="preserve"> </w:t>
      </w:r>
      <w:proofErr w:type="spellStart"/>
      <w:r w:rsidR="006C2826" w:rsidRPr="0078287D">
        <w:rPr>
          <w:rFonts w:ascii="Arial" w:hAnsi="Arial"/>
          <w:sz w:val="18"/>
          <w:szCs w:val="18"/>
        </w:rPr>
        <w:t>sq</w:t>
      </w:r>
      <w:proofErr w:type="spellEnd"/>
      <w:r w:rsidR="00217191" w:rsidRPr="0078287D">
        <w:rPr>
          <w:rFonts w:ascii="Arial" w:hAnsi="Arial"/>
          <w:sz w:val="18"/>
          <w:szCs w:val="18"/>
        </w:rPr>
        <w:t xml:space="preserve"> </w:t>
      </w:r>
      <w:r w:rsidR="006C2826" w:rsidRPr="0078287D">
        <w:rPr>
          <w:rFonts w:ascii="Arial" w:hAnsi="Arial"/>
          <w:sz w:val="18"/>
          <w:szCs w:val="18"/>
        </w:rPr>
        <w:t>m</w:t>
      </w:r>
      <w:r w:rsidR="0064599F">
        <w:rPr>
          <w:rFonts w:ascii="Arial" w:hAnsi="Arial"/>
          <w:sz w:val="18"/>
          <w:szCs w:val="18"/>
        </w:rPr>
        <w:t>,</w:t>
      </w:r>
      <w:r>
        <w:rPr>
          <w:rFonts w:ascii="Arial" w:hAnsi="Arial"/>
          <w:sz w:val="18"/>
          <w:szCs w:val="18"/>
        </w:rPr>
        <w:t xml:space="preserve"> </w:t>
      </w:r>
      <w:r w:rsidR="0064599F">
        <w:rPr>
          <w:rFonts w:ascii="Arial" w:hAnsi="Arial"/>
          <w:sz w:val="18"/>
          <w:szCs w:val="18"/>
        </w:rPr>
        <w:t>2</w:t>
      </w:r>
      <w:r>
        <w:rPr>
          <w:rFonts w:ascii="Arial" w:hAnsi="Arial"/>
          <w:sz w:val="18"/>
          <w:szCs w:val="18"/>
        </w:rPr>
        <w:t>,</w:t>
      </w:r>
      <w:r w:rsidR="0064599F">
        <w:rPr>
          <w:rFonts w:ascii="Arial" w:hAnsi="Arial"/>
          <w:sz w:val="18"/>
          <w:szCs w:val="18"/>
        </w:rPr>
        <w:t>8</w:t>
      </w:r>
      <w:r>
        <w:rPr>
          <w:rFonts w:ascii="Arial" w:hAnsi="Arial"/>
          <w:sz w:val="18"/>
          <w:szCs w:val="18"/>
        </w:rPr>
        <w:t xml:space="preserve">00 </w:t>
      </w:r>
      <w:proofErr w:type="spellStart"/>
      <w:r>
        <w:rPr>
          <w:rFonts w:ascii="Arial" w:hAnsi="Arial"/>
          <w:sz w:val="18"/>
          <w:szCs w:val="18"/>
        </w:rPr>
        <w:t>sq</w:t>
      </w:r>
      <w:proofErr w:type="spellEnd"/>
      <w:r>
        <w:rPr>
          <w:rFonts w:ascii="Arial" w:hAnsi="Arial"/>
          <w:sz w:val="18"/>
          <w:szCs w:val="18"/>
        </w:rPr>
        <w:t xml:space="preserve"> m</w:t>
      </w:r>
      <w:r w:rsidR="0064599F">
        <w:rPr>
          <w:rFonts w:ascii="Arial" w:hAnsi="Arial"/>
          <w:sz w:val="18"/>
          <w:szCs w:val="18"/>
        </w:rPr>
        <w:t xml:space="preserve"> and 2,206 </w:t>
      </w:r>
      <w:proofErr w:type="spellStart"/>
      <w:r w:rsidR="0064599F">
        <w:rPr>
          <w:rFonts w:ascii="Arial" w:hAnsi="Arial"/>
          <w:sz w:val="18"/>
          <w:szCs w:val="18"/>
        </w:rPr>
        <w:t>sq</w:t>
      </w:r>
      <w:proofErr w:type="spellEnd"/>
      <w:r w:rsidR="0064599F">
        <w:rPr>
          <w:rFonts w:ascii="Arial" w:hAnsi="Arial"/>
          <w:sz w:val="18"/>
          <w:szCs w:val="18"/>
        </w:rPr>
        <w:t xml:space="preserve"> m</w:t>
      </w:r>
      <w:r>
        <w:rPr>
          <w:rFonts w:ascii="Arial" w:hAnsi="Arial"/>
          <w:sz w:val="18"/>
          <w:szCs w:val="18"/>
        </w:rPr>
        <w:t xml:space="preserve">. </w:t>
      </w:r>
      <w:r w:rsidR="006C2826" w:rsidRPr="0078287D">
        <w:rPr>
          <w:rFonts w:ascii="Arial" w:hAnsi="Arial"/>
          <w:sz w:val="18"/>
          <w:szCs w:val="18"/>
        </w:rPr>
        <w:t xml:space="preserve">In addition, we monitored </w:t>
      </w:r>
      <w:r w:rsidR="00A52ADF">
        <w:rPr>
          <w:rFonts w:ascii="Arial" w:hAnsi="Arial"/>
          <w:sz w:val="18"/>
          <w:szCs w:val="18"/>
        </w:rPr>
        <w:t>an</w:t>
      </w:r>
      <w:r w:rsidR="0078287D" w:rsidRPr="0078287D">
        <w:rPr>
          <w:rFonts w:ascii="Arial" w:hAnsi="Arial"/>
          <w:sz w:val="18"/>
          <w:szCs w:val="18"/>
        </w:rPr>
        <w:t>other</w:t>
      </w:r>
      <w:r w:rsidR="00A52ADF">
        <w:rPr>
          <w:rFonts w:ascii="Arial" w:hAnsi="Arial"/>
          <w:sz w:val="18"/>
          <w:szCs w:val="18"/>
        </w:rPr>
        <w:t xml:space="preserve"> </w:t>
      </w:r>
      <w:r w:rsidR="0064599F">
        <w:rPr>
          <w:rFonts w:ascii="Arial" w:hAnsi="Arial"/>
          <w:sz w:val="18"/>
          <w:szCs w:val="18"/>
        </w:rPr>
        <w:t>two</w:t>
      </w:r>
      <w:r w:rsidR="0078287D" w:rsidRPr="0078287D">
        <w:rPr>
          <w:rFonts w:ascii="Arial" w:hAnsi="Arial"/>
          <w:sz w:val="18"/>
          <w:szCs w:val="18"/>
        </w:rPr>
        <w:t xml:space="preserve"> </w:t>
      </w:r>
      <w:r w:rsidR="0078287D" w:rsidRPr="00925F8A">
        <w:rPr>
          <w:rFonts w:ascii="Arial" w:hAnsi="Arial"/>
          <w:sz w:val="18"/>
          <w:szCs w:val="18"/>
        </w:rPr>
        <w:t>transactions</w:t>
      </w:r>
      <w:r w:rsidR="00A52ADF">
        <w:rPr>
          <w:rFonts w:ascii="Arial" w:hAnsi="Arial"/>
          <w:sz w:val="18"/>
          <w:szCs w:val="18"/>
        </w:rPr>
        <w:t xml:space="preserve"> with the area of</w:t>
      </w:r>
      <w:r w:rsidR="0078287D" w:rsidRPr="00925F8A">
        <w:rPr>
          <w:rFonts w:ascii="Arial" w:hAnsi="Arial"/>
          <w:sz w:val="18"/>
          <w:szCs w:val="18"/>
        </w:rPr>
        <w:t xml:space="preserve"> over 1</w:t>
      </w:r>
      <w:r w:rsidR="00A52ADF">
        <w:rPr>
          <w:rFonts w:ascii="Arial" w:hAnsi="Arial"/>
          <w:sz w:val="18"/>
          <w:szCs w:val="18"/>
        </w:rPr>
        <w:t>,</w:t>
      </w:r>
      <w:r w:rsidR="006C2826" w:rsidRPr="00925F8A">
        <w:rPr>
          <w:rFonts w:ascii="Arial" w:hAnsi="Arial"/>
          <w:sz w:val="18"/>
          <w:szCs w:val="18"/>
        </w:rPr>
        <w:t xml:space="preserve">000 </w:t>
      </w:r>
      <w:proofErr w:type="spellStart"/>
      <w:r w:rsidR="006C2826" w:rsidRPr="00925F8A">
        <w:rPr>
          <w:rFonts w:ascii="Arial" w:hAnsi="Arial"/>
          <w:sz w:val="18"/>
          <w:szCs w:val="18"/>
        </w:rPr>
        <w:t>sq</w:t>
      </w:r>
      <w:proofErr w:type="spellEnd"/>
      <w:r w:rsidR="00217191" w:rsidRPr="00925F8A">
        <w:rPr>
          <w:rFonts w:ascii="Arial" w:hAnsi="Arial"/>
          <w:sz w:val="18"/>
          <w:szCs w:val="18"/>
        </w:rPr>
        <w:t xml:space="preserve"> </w:t>
      </w:r>
      <w:r w:rsidR="006C2826" w:rsidRPr="00925F8A">
        <w:rPr>
          <w:rFonts w:ascii="Arial" w:hAnsi="Arial"/>
          <w:sz w:val="18"/>
          <w:szCs w:val="18"/>
        </w:rPr>
        <w:t>m</w:t>
      </w:r>
      <w:r w:rsidR="0078287D" w:rsidRPr="00925F8A">
        <w:rPr>
          <w:rFonts w:ascii="Arial" w:hAnsi="Arial"/>
          <w:sz w:val="18"/>
          <w:szCs w:val="18"/>
        </w:rPr>
        <w:t>.</w:t>
      </w:r>
    </w:p>
    <w:p w14:paraId="54CDE35D" w14:textId="0D60A117" w:rsidR="00937CC1" w:rsidRDefault="006C2826" w:rsidP="006C2826">
      <w:pPr>
        <w:autoSpaceDE w:val="0"/>
        <w:autoSpaceDN w:val="0"/>
        <w:adjustRightInd w:val="0"/>
        <w:spacing w:after="120"/>
        <w:jc w:val="both"/>
        <w:rPr>
          <w:rFonts w:ascii="Arial" w:eastAsia="SimSun" w:hAnsi="Arial" w:cs="Arial"/>
          <w:sz w:val="18"/>
          <w:szCs w:val="18"/>
          <w:lang w:eastAsia="sk-SK"/>
        </w:rPr>
      </w:pPr>
      <w:r w:rsidRPr="00925F8A">
        <w:rPr>
          <w:rFonts w:ascii="Arial" w:eastAsia="SimSun" w:hAnsi="Arial" w:cs="Arial"/>
          <w:sz w:val="18"/>
          <w:szCs w:val="18"/>
          <w:lang w:eastAsia="sk-SK"/>
        </w:rPr>
        <w:t xml:space="preserve">In the </w:t>
      </w:r>
      <w:r w:rsidR="0064599F">
        <w:rPr>
          <w:rFonts w:ascii="Arial" w:eastAsia="SimSun" w:hAnsi="Arial" w:cs="Arial"/>
          <w:sz w:val="18"/>
          <w:szCs w:val="18"/>
          <w:lang w:eastAsia="sk-SK"/>
        </w:rPr>
        <w:t>third</w:t>
      </w:r>
      <w:r w:rsidR="00BF7080" w:rsidRPr="00925F8A">
        <w:rPr>
          <w:rFonts w:ascii="Arial" w:eastAsia="SimSun" w:hAnsi="Arial" w:cs="Arial"/>
          <w:sz w:val="18"/>
          <w:szCs w:val="18"/>
          <w:lang w:eastAsia="sk-SK"/>
        </w:rPr>
        <w:t xml:space="preserve"> </w:t>
      </w:r>
      <w:r w:rsidRPr="00925F8A">
        <w:rPr>
          <w:rFonts w:ascii="Arial" w:eastAsia="SimSun" w:hAnsi="Arial" w:cs="Arial"/>
          <w:sz w:val="18"/>
          <w:szCs w:val="18"/>
          <w:lang w:eastAsia="sk-SK"/>
        </w:rPr>
        <w:t>quarter of 201</w:t>
      </w:r>
      <w:r w:rsidR="00A52ADF">
        <w:rPr>
          <w:rFonts w:ascii="Arial" w:eastAsia="SimSun" w:hAnsi="Arial" w:cs="Arial"/>
          <w:sz w:val="18"/>
          <w:szCs w:val="18"/>
          <w:lang w:eastAsia="sk-SK"/>
        </w:rPr>
        <w:t>9,</w:t>
      </w:r>
      <w:r w:rsidRPr="00925F8A">
        <w:rPr>
          <w:rFonts w:ascii="Arial" w:eastAsia="SimSun" w:hAnsi="Arial" w:cs="Arial"/>
          <w:sz w:val="18"/>
          <w:szCs w:val="18"/>
          <w:lang w:eastAsia="sk-SK"/>
        </w:rPr>
        <w:t xml:space="preserve"> </w:t>
      </w:r>
      <w:proofErr w:type="gramStart"/>
      <w:r w:rsidRPr="00925F8A">
        <w:rPr>
          <w:rFonts w:ascii="Arial" w:eastAsia="SimSun" w:hAnsi="Arial" w:cs="Arial"/>
          <w:sz w:val="18"/>
          <w:szCs w:val="18"/>
          <w:lang w:eastAsia="sk-SK"/>
        </w:rPr>
        <w:t>the majority of</w:t>
      </w:r>
      <w:proofErr w:type="gramEnd"/>
      <w:r w:rsidRPr="00925F8A">
        <w:rPr>
          <w:rFonts w:ascii="Arial" w:eastAsia="SimSun" w:hAnsi="Arial" w:cs="Arial"/>
          <w:sz w:val="18"/>
          <w:szCs w:val="18"/>
          <w:lang w:eastAsia="sk-SK"/>
        </w:rPr>
        <w:t xml:space="preserve"> </w:t>
      </w:r>
      <w:r w:rsidR="00A52ADF">
        <w:rPr>
          <w:rFonts w:ascii="Arial" w:eastAsia="SimSun" w:hAnsi="Arial" w:cs="Arial"/>
          <w:sz w:val="18"/>
          <w:szCs w:val="18"/>
          <w:lang w:eastAsia="sk-SK"/>
        </w:rPr>
        <w:t xml:space="preserve">all </w:t>
      </w:r>
      <w:r w:rsidRPr="00925F8A">
        <w:rPr>
          <w:rFonts w:ascii="Arial" w:eastAsia="SimSun" w:hAnsi="Arial" w:cs="Arial"/>
          <w:sz w:val="18"/>
          <w:szCs w:val="18"/>
          <w:lang w:eastAsia="sk-SK"/>
        </w:rPr>
        <w:t>transactions w</w:t>
      </w:r>
      <w:r w:rsidR="00303AAA">
        <w:rPr>
          <w:rFonts w:ascii="Arial" w:eastAsia="SimSun" w:hAnsi="Arial" w:cs="Arial"/>
          <w:sz w:val="18"/>
          <w:szCs w:val="18"/>
          <w:lang w:eastAsia="sk-SK"/>
        </w:rPr>
        <w:t>ere</w:t>
      </w:r>
      <w:r w:rsidRPr="00925F8A">
        <w:rPr>
          <w:rFonts w:ascii="Arial" w:eastAsia="SimSun" w:hAnsi="Arial" w:cs="Arial"/>
          <w:sz w:val="18"/>
          <w:szCs w:val="18"/>
          <w:lang w:eastAsia="sk-SK"/>
        </w:rPr>
        <w:t xml:space="preserve"> signed </w:t>
      </w:r>
      <w:r w:rsidR="00A52ADF">
        <w:rPr>
          <w:rFonts w:ascii="Arial" w:eastAsia="SimSun" w:hAnsi="Arial" w:cs="Arial"/>
          <w:sz w:val="18"/>
          <w:szCs w:val="18"/>
          <w:lang w:eastAsia="sk-SK"/>
        </w:rPr>
        <w:t>with</w:t>
      </w:r>
      <w:r w:rsidRPr="00925F8A">
        <w:rPr>
          <w:rFonts w:ascii="Arial" w:eastAsia="SimSun" w:hAnsi="Arial" w:cs="Arial"/>
          <w:sz w:val="18"/>
          <w:szCs w:val="18"/>
          <w:lang w:eastAsia="sk-SK"/>
        </w:rPr>
        <w:t>in the</w:t>
      </w:r>
      <w:r w:rsidR="00A52ADF">
        <w:rPr>
          <w:rFonts w:ascii="Arial" w:eastAsia="SimSun" w:hAnsi="Arial" w:cs="Arial"/>
          <w:sz w:val="18"/>
          <w:szCs w:val="18"/>
          <w:lang w:eastAsia="sk-SK"/>
        </w:rPr>
        <w:t xml:space="preserve"> </w:t>
      </w:r>
      <w:r w:rsidR="0064599F">
        <w:rPr>
          <w:rFonts w:ascii="Arial" w:eastAsia="SimSun" w:hAnsi="Arial" w:cs="Arial"/>
          <w:sz w:val="18"/>
          <w:szCs w:val="18"/>
          <w:lang w:eastAsia="sk-SK"/>
        </w:rPr>
        <w:t>Professional</w:t>
      </w:r>
      <w:r w:rsidR="004C24CF">
        <w:rPr>
          <w:rFonts w:ascii="Arial" w:eastAsia="SimSun" w:hAnsi="Arial" w:cs="Arial"/>
          <w:sz w:val="18"/>
          <w:szCs w:val="18"/>
          <w:lang w:eastAsia="sk-SK"/>
        </w:rPr>
        <w:t xml:space="preserve"> </w:t>
      </w:r>
      <w:r w:rsidR="0064599F">
        <w:rPr>
          <w:rFonts w:ascii="Arial" w:eastAsia="SimSun" w:hAnsi="Arial" w:cs="Arial"/>
          <w:sz w:val="18"/>
          <w:szCs w:val="18"/>
          <w:lang w:eastAsia="sk-SK"/>
        </w:rPr>
        <w:t xml:space="preserve">services </w:t>
      </w:r>
      <w:r w:rsidR="004C24CF">
        <w:rPr>
          <w:rFonts w:ascii="Arial" w:eastAsia="SimSun" w:hAnsi="Arial" w:cs="Arial"/>
          <w:sz w:val="18"/>
          <w:szCs w:val="18"/>
          <w:lang w:eastAsia="sk-SK"/>
        </w:rPr>
        <w:t>sector</w:t>
      </w:r>
      <w:r w:rsidR="008407C1">
        <w:rPr>
          <w:rFonts w:ascii="Arial" w:eastAsia="SimSun" w:hAnsi="Arial" w:cs="Arial"/>
          <w:sz w:val="18"/>
          <w:szCs w:val="18"/>
          <w:lang w:eastAsia="sk-SK"/>
        </w:rPr>
        <w:t xml:space="preserve"> </w:t>
      </w:r>
      <w:r w:rsidRPr="00925F8A">
        <w:rPr>
          <w:rFonts w:ascii="Arial" w:eastAsia="SimSun" w:hAnsi="Arial" w:cs="Arial"/>
          <w:sz w:val="18"/>
          <w:szCs w:val="18"/>
          <w:lang w:eastAsia="sk-SK"/>
        </w:rPr>
        <w:t>(</w:t>
      </w:r>
      <w:r w:rsidR="0064599F">
        <w:rPr>
          <w:rFonts w:ascii="Arial" w:eastAsia="SimSun" w:hAnsi="Arial" w:cs="Arial"/>
          <w:sz w:val="18"/>
          <w:szCs w:val="18"/>
          <w:lang w:eastAsia="sk-SK"/>
        </w:rPr>
        <w:t>28</w:t>
      </w:r>
      <w:r w:rsidRPr="00925F8A">
        <w:rPr>
          <w:rFonts w:ascii="Arial" w:eastAsia="SimSun" w:hAnsi="Arial" w:cs="Arial"/>
          <w:sz w:val="18"/>
          <w:szCs w:val="18"/>
          <w:lang w:eastAsia="sk-SK"/>
        </w:rPr>
        <w:t>%)</w:t>
      </w:r>
      <w:r w:rsidR="0064599F">
        <w:rPr>
          <w:rFonts w:ascii="Arial" w:eastAsia="SimSun" w:hAnsi="Arial" w:cs="Arial"/>
          <w:sz w:val="18"/>
          <w:szCs w:val="18"/>
          <w:lang w:eastAsia="sk-SK"/>
        </w:rPr>
        <w:t xml:space="preserve"> and IT </w:t>
      </w:r>
      <w:r w:rsidRPr="00925F8A">
        <w:rPr>
          <w:rFonts w:ascii="Arial" w:eastAsia="SimSun" w:hAnsi="Arial" w:cs="Arial"/>
          <w:sz w:val="18"/>
          <w:szCs w:val="18"/>
          <w:lang w:eastAsia="sk-SK"/>
        </w:rPr>
        <w:t>sector (</w:t>
      </w:r>
      <w:r w:rsidR="0064599F">
        <w:rPr>
          <w:rFonts w:ascii="Arial" w:eastAsia="SimSun" w:hAnsi="Arial" w:cs="Arial"/>
          <w:sz w:val="18"/>
          <w:szCs w:val="18"/>
          <w:lang w:eastAsia="sk-SK"/>
        </w:rPr>
        <w:t>26</w:t>
      </w:r>
      <w:r w:rsidRPr="00925F8A">
        <w:rPr>
          <w:rFonts w:ascii="Arial" w:eastAsia="SimSun" w:hAnsi="Arial" w:cs="Arial"/>
          <w:sz w:val="18"/>
          <w:szCs w:val="18"/>
          <w:lang w:val="sk-SK" w:eastAsia="sk-SK"/>
        </w:rPr>
        <w:t>%</w:t>
      </w:r>
      <w:r w:rsidRPr="00925F8A">
        <w:rPr>
          <w:rFonts w:ascii="Arial" w:eastAsia="SimSun" w:hAnsi="Arial" w:cs="Arial"/>
          <w:sz w:val="18"/>
          <w:szCs w:val="18"/>
          <w:lang w:eastAsia="sk-SK"/>
        </w:rPr>
        <w:t>).</w:t>
      </w:r>
    </w:p>
    <w:p w14:paraId="79983A67" w14:textId="10788AE4" w:rsidR="00937CC1" w:rsidRDefault="00937CC1">
      <w:pPr>
        <w:rPr>
          <w:rFonts w:ascii="Arial" w:hAnsi="Arial" w:cs="Arial"/>
          <w:b/>
          <w:bCs/>
          <w:sz w:val="18"/>
          <w:szCs w:val="18"/>
          <w:lang w:val="sk-SK"/>
        </w:rPr>
      </w:pPr>
    </w:p>
    <w:p w14:paraId="60057687" w14:textId="2157995E" w:rsidR="00D464A8" w:rsidRDefault="006A4F3A" w:rsidP="00416C16">
      <w:pPr>
        <w:jc w:val="both"/>
        <w:outlineLvl w:val="0"/>
        <w:rPr>
          <w:rFonts w:ascii="Arial" w:hAnsi="Arial" w:cs="Arial"/>
          <w:b/>
          <w:bCs/>
          <w:sz w:val="18"/>
          <w:szCs w:val="18"/>
        </w:rPr>
      </w:pPr>
      <w:r w:rsidRPr="00CB54CE">
        <w:rPr>
          <w:rFonts w:ascii="Arial" w:hAnsi="Arial" w:cs="Arial"/>
          <w:b/>
          <w:bCs/>
          <w:sz w:val="18"/>
          <w:szCs w:val="18"/>
        </w:rPr>
        <w:t xml:space="preserve">Office Take-Up according to sector for </w:t>
      </w:r>
      <w:r>
        <w:rPr>
          <w:rFonts w:ascii="Arial" w:hAnsi="Arial" w:cs="Arial"/>
          <w:b/>
          <w:bCs/>
          <w:sz w:val="18"/>
          <w:szCs w:val="18"/>
        </w:rPr>
        <w:t xml:space="preserve">the </w:t>
      </w:r>
      <w:r w:rsidR="0064599F">
        <w:rPr>
          <w:rFonts w:ascii="Arial" w:hAnsi="Arial" w:cs="Arial"/>
          <w:b/>
          <w:bCs/>
          <w:sz w:val="18"/>
          <w:szCs w:val="18"/>
        </w:rPr>
        <w:t>third</w:t>
      </w:r>
      <w:r>
        <w:rPr>
          <w:rFonts w:ascii="Arial" w:hAnsi="Arial" w:cs="Arial"/>
          <w:b/>
          <w:bCs/>
          <w:sz w:val="18"/>
          <w:szCs w:val="18"/>
        </w:rPr>
        <w:t xml:space="preserve"> quarter of 201</w:t>
      </w:r>
      <w:r w:rsidR="00246365">
        <w:rPr>
          <w:rFonts w:ascii="Arial" w:hAnsi="Arial" w:cs="Arial"/>
          <w:b/>
          <w:bCs/>
          <w:sz w:val="18"/>
          <w:szCs w:val="18"/>
        </w:rPr>
        <w:t>9</w:t>
      </w:r>
      <w:r w:rsidRPr="00CB54CE">
        <w:rPr>
          <w:rFonts w:ascii="Arial" w:hAnsi="Arial" w:cs="Arial"/>
          <w:b/>
          <w:bCs/>
          <w:sz w:val="18"/>
          <w:szCs w:val="18"/>
        </w:rPr>
        <w:t>:</w:t>
      </w:r>
    </w:p>
    <w:p w14:paraId="6E9B2939" w14:textId="77777777" w:rsidR="00246365" w:rsidRDefault="00246365" w:rsidP="00416C16">
      <w:pPr>
        <w:jc w:val="both"/>
        <w:outlineLvl w:val="0"/>
        <w:rPr>
          <w:rFonts w:ascii="Arial" w:hAnsi="Arial" w:cs="Arial"/>
          <w:b/>
          <w:bCs/>
          <w:sz w:val="18"/>
          <w:szCs w:val="18"/>
        </w:rPr>
      </w:pPr>
    </w:p>
    <w:p w14:paraId="19A3E966" w14:textId="25C79340" w:rsidR="00BF7080" w:rsidRDefault="0064599F" w:rsidP="00416C16">
      <w:pPr>
        <w:jc w:val="both"/>
        <w:outlineLvl w:val="0"/>
        <w:rPr>
          <w:rFonts w:ascii="Arial" w:hAnsi="Arial" w:cs="Arial"/>
          <w:b/>
          <w:bCs/>
          <w:sz w:val="18"/>
          <w:szCs w:val="18"/>
        </w:rPr>
      </w:pPr>
      <w:r>
        <w:rPr>
          <w:noProof/>
        </w:rPr>
        <w:drawing>
          <wp:inline distT="0" distB="0" distL="0" distR="0" wp14:anchorId="3D108309" wp14:editId="315E52A8">
            <wp:extent cx="6479540" cy="3790950"/>
            <wp:effectExtent l="0" t="0" r="16510" b="0"/>
            <wp:docPr id="14" name="Graf 14">
              <a:extLst xmlns:a="http://schemas.openxmlformats.org/drawingml/2006/main">
                <a:ext uri="{FF2B5EF4-FFF2-40B4-BE49-F238E27FC236}">
                  <a16:creationId xmlns:a16="http://schemas.microsoft.com/office/drawing/2014/main" id="{CAA9BE57-5796-4362-8B81-0AF43C596C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68B7B8" w14:textId="77777777" w:rsidR="0064599F" w:rsidRDefault="0064599F" w:rsidP="00416C16">
      <w:pPr>
        <w:jc w:val="both"/>
        <w:outlineLvl w:val="0"/>
        <w:rPr>
          <w:rFonts w:ascii="Arial" w:hAnsi="Arial" w:cs="Arial"/>
          <w:b/>
          <w:bCs/>
          <w:sz w:val="18"/>
          <w:szCs w:val="18"/>
        </w:rPr>
      </w:pPr>
    </w:p>
    <w:p w14:paraId="37F7DF2A" w14:textId="3B392879" w:rsidR="008F514F" w:rsidRDefault="008F514F" w:rsidP="00416C16">
      <w:pPr>
        <w:jc w:val="both"/>
        <w:outlineLvl w:val="0"/>
        <w:rPr>
          <w:rFonts w:ascii="Arial" w:hAnsi="Arial" w:cs="Arial"/>
          <w:b/>
          <w:bCs/>
          <w:sz w:val="18"/>
          <w:szCs w:val="18"/>
        </w:rPr>
      </w:pPr>
    </w:p>
    <w:p w14:paraId="5470E06A" w14:textId="5FAA488D" w:rsidR="006A4F3A" w:rsidRDefault="006A4F3A" w:rsidP="006A4F3A">
      <w:pPr>
        <w:jc w:val="both"/>
        <w:outlineLvl w:val="0"/>
        <w:rPr>
          <w:rFonts w:ascii="Arial" w:hAnsi="Arial" w:cs="Arial"/>
          <w:b/>
          <w:bCs/>
        </w:rPr>
      </w:pPr>
      <w:r w:rsidRPr="00CB54CE">
        <w:rPr>
          <w:rFonts w:ascii="Arial" w:hAnsi="Arial" w:cs="Arial"/>
          <w:b/>
          <w:bCs/>
        </w:rPr>
        <w:t>Significant Office Transactions</w:t>
      </w:r>
    </w:p>
    <w:p w14:paraId="22AE31C0" w14:textId="3B95D2A8" w:rsidR="008F514F" w:rsidRDefault="008F514F" w:rsidP="006A4F3A">
      <w:pPr>
        <w:jc w:val="both"/>
        <w:outlineLvl w:val="0"/>
        <w:rPr>
          <w:rFonts w:ascii="Arial" w:hAnsi="Arial" w:cs="Arial"/>
          <w:b/>
          <w:bCs/>
        </w:rPr>
      </w:pPr>
    </w:p>
    <w:tbl>
      <w:tblPr>
        <w:tblStyle w:val="Obyajntabuka4"/>
        <w:tblW w:w="10212" w:type="dxa"/>
        <w:tblLook w:val="04A0" w:firstRow="1" w:lastRow="0" w:firstColumn="1" w:lastColumn="0" w:noHBand="0" w:noVBand="1"/>
      </w:tblPr>
      <w:tblGrid>
        <w:gridCol w:w="3119"/>
        <w:gridCol w:w="1843"/>
        <w:gridCol w:w="3260"/>
        <w:gridCol w:w="1990"/>
      </w:tblGrid>
      <w:tr w:rsidR="008F514F" w:rsidRPr="008F514F" w14:paraId="69B4EA15" w14:textId="77777777" w:rsidTr="00F65343">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19" w:type="dxa"/>
            <w:hideMark/>
          </w:tcPr>
          <w:p w14:paraId="565C937A" w14:textId="43828C14" w:rsidR="008F514F" w:rsidRPr="009B52EA" w:rsidRDefault="008F514F" w:rsidP="009B52EA">
            <w:pPr>
              <w:rPr>
                <w:rFonts w:ascii="Arial" w:hAnsi="Arial" w:cs="Arial"/>
                <w:b w:val="0"/>
                <w:bCs w:val="0"/>
                <w:sz w:val="18"/>
                <w:szCs w:val="18"/>
                <w:lang w:val="sk-SK" w:eastAsia="sk-SK"/>
              </w:rPr>
            </w:pPr>
            <w:r w:rsidRPr="009B52EA">
              <w:rPr>
                <w:rFonts w:ascii="Arial" w:hAnsi="Arial" w:cs="Arial"/>
                <w:color w:val="000000"/>
                <w:sz w:val="18"/>
                <w:szCs w:val="18"/>
                <w:lang w:val="sk-SK" w:eastAsia="sk-SK"/>
              </w:rPr>
              <w:t>Property</w:t>
            </w:r>
            <w:r w:rsidRPr="009B52EA">
              <w:rPr>
                <w:rFonts w:ascii="Arial" w:hAnsi="Arial" w:cs="Arial"/>
                <w:b w:val="0"/>
                <w:bCs w:val="0"/>
                <w:sz w:val="18"/>
                <w:szCs w:val="18"/>
                <w:lang w:val="sk-SK" w:eastAsia="sk-SK"/>
              </w:rPr>
              <w:t xml:space="preserve"> </w:t>
            </w:r>
          </w:p>
        </w:tc>
        <w:tc>
          <w:tcPr>
            <w:tcW w:w="1843" w:type="dxa"/>
            <w:hideMark/>
          </w:tcPr>
          <w:p w14:paraId="3892808B" w14:textId="520E2E16" w:rsidR="008F514F" w:rsidRPr="009B52EA" w:rsidRDefault="009B52EA" w:rsidP="009B52EA">
            <w:pPr>
              <w:jc w:val="both"/>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9B52EA">
              <w:rPr>
                <w:rFonts w:ascii="Arial" w:hAnsi="Arial" w:cs="Arial"/>
                <w:color w:val="000000"/>
                <w:sz w:val="18"/>
                <w:szCs w:val="18"/>
                <w:lang w:val="sk-SK" w:eastAsia="sk-SK"/>
              </w:rPr>
              <w:t>Let area (sq m)</w:t>
            </w:r>
          </w:p>
        </w:tc>
        <w:tc>
          <w:tcPr>
            <w:tcW w:w="3260" w:type="dxa"/>
            <w:hideMark/>
          </w:tcPr>
          <w:p w14:paraId="675A2A70" w14:textId="1304B2F1" w:rsidR="008F514F" w:rsidRPr="009B52EA" w:rsidRDefault="008F514F" w:rsidP="009B52EA">
            <w:pP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9B52EA">
              <w:rPr>
                <w:rFonts w:ascii="Arial" w:hAnsi="Arial" w:cs="Arial"/>
                <w:color w:val="000000"/>
                <w:sz w:val="18"/>
                <w:szCs w:val="18"/>
                <w:lang w:val="sk-SK" w:eastAsia="sk-SK"/>
              </w:rPr>
              <w:t>Occupation</w:t>
            </w:r>
          </w:p>
        </w:tc>
        <w:tc>
          <w:tcPr>
            <w:tcW w:w="1990" w:type="dxa"/>
            <w:hideMark/>
          </w:tcPr>
          <w:p w14:paraId="091AF1A5" w14:textId="70571316" w:rsidR="008F514F" w:rsidRPr="009B52EA" w:rsidRDefault="008F514F" w:rsidP="009B52EA">
            <w:pP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9B52EA">
              <w:rPr>
                <w:rFonts w:ascii="Arial" w:hAnsi="Arial" w:cs="Arial"/>
                <w:color w:val="000000"/>
                <w:sz w:val="18"/>
                <w:szCs w:val="18"/>
                <w:lang w:val="sk-SK" w:eastAsia="sk-SK"/>
              </w:rPr>
              <w:t>Type of deal</w:t>
            </w:r>
          </w:p>
        </w:tc>
      </w:tr>
      <w:tr w:rsidR="009233F7" w:rsidRPr="008F514F" w14:paraId="5A792433" w14:textId="77777777" w:rsidTr="00F6534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119" w:type="dxa"/>
            <w:hideMark/>
          </w:tcPr>
          <w:p w14:paraId="5C8508BC" w14:textId="5AD66C6F" w:rsidR="009233F7" w:rsidRPr="009233F7" w:rsidRDefault="009233F7" w:rsidP="009233F7">
            <w:pPr>
              <w:jc w:val="both"/>
              <w:outlineLvl w:val="0"/>
              <w:rPr>
                <w:rFonts w:ascii="Arial" w:hAnsi="Arial" w:cs="Arial"/>
                <w:b w:val="0"/>
                <w:bCs w:val="0"/>
                <w:sz w:val="16"/>
                <w:szCs w:val="16"/>
              </w:rPr>
            </w:pPr>
            <w:r w:rsidRPr="009233F7">
              <w:rPr>
                <w:rFonts w:ascii="Arial" w:hAnsi="Arial" w:cs="Arial"/>
                <w:b w:val="0"/>
                <w:bCs w:val="0"/>
                <w:sz w:val="16"/>
                <w:szCs w:val="16"/>
              </w:rPr>
              <w:t xml:space="preserve">AC </w:t>
            </w:r>
            <w:proofErr w:type="spellStart"/>
            <w:r w:rsidRPr="009233F7">
              <w:rPr>
                <w:rFonts w:ascii="Arial" w:hAnsi="Arial" w:cs="Arial"/>
                <w:b w:val="0"/>
                <w:bCs w:val="0"/>
                <w:sz w:val="16"/>
                <w:szCs w:val="16"/>
              </w:rPr>
              <w:t>Ružová</w:t>
            </w:r>
            <w:proofErr w:type="spellEnd"/>
            <w:r w:rsidRPr="009233F7">
              <w:rPr>
                <w:rFonts w:ascii="Arial" w:hAnsi="Arial" w:cs="Arial"/>
                <w:b w:val="0"/>
                <w:bCs w:val="0"/>
                <w:sz w:val="16"/>
                <w:szCs w:val="16"/>
              </w:rPr>
              <w:t xml:space="preserve"> dolina</w:t>
            </w:r>
          </w:p>
        </w:tc>
        <w:tc>
          <w:tcPr>
            <w:tcW w:w="1843" w:type="dxa"/>
            <w:noWrap/>
            <w:hideMark/>
          </w:tcPr>
          <w:p w14:paraId="76ACFDB8" w14:textId="17FCB045" w:rsidR="009233F7" w:rsidRPr="009233F7" w:rsidRDefault="009233F7" w:rsidP="009233F7">
            <w:pPr>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233F7">
              <w:rPr>
                <w:rFonts w:ascii="Arial" w:hAnsi="Arial" w:cs="Arial"/>
                <w:sz w:val="16"/>
                <w:szCs w:val="16"/>
              </w:rPr>
              <w:t>4000</w:t>
            </w:r>
          </w:p>
        </w:tc>
        <w:tc>
          <w:tcPr>
            <w:tcW w:w="3260" w:type="dxa"/>
            <w:noWrap/>
            <w:hideMark/>
          </w:tcPr>
          <w:p w14:paraId="658E6B7C" w14:textId="523823A4"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6669CB">
              <w:rPr>
                <w:rFonts w:ascii="Arial" w:hAnsi="Arial" w:cs="Arial"/>
                <w:sz w:val="16"/>
                <w:szCs w:val="16"/>
              </w:rPr>
              <w:t>Public/Embassy/Trade Council/Diplomatic</w:t>
            </w:r>
          </w:p>
        </w:tc>
        <w:tc>
          <w:tcPr>
            <w:tcW w:w="1990" w:type="dxa"/>
            <w:noWrap/>
            <w:hideMark/>
          </w:tcPr>
          <w:p w14:paraId="23BE66C4" w14:textId="364EC5E2"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Renegotiation</w:t>
            </w:r>
          </w:p>
        </w:tc>
      </w:tr>
      <w:tr w:rsidR="009233F7" w:rsidRPr="008F514F" w14:paraId="428946D8" w14:textId="77777777" w:rsidTr="00F65343">
        <w:trPr>
          <w:trHeight w:val="255"/>
        </w:trPr>
        <w:tc>
          <w:tcPr>
            <w:cnfStyle w:val="001000000000" w:firstRow="0" w:lastRow="0" w:firstColumn="1" w:lastColumn="0" w:oddVBand="0" w:evenVBand="0" w:oddHBand="0" w:evenHBand="0" w:firstRowFirstColumn="0" w:firstRowLastColumn="0" w:lastRowFirstColumn="0" w:lastRowLastColumn="0"/>
            <w:tcW w:w="3119" w:type="dxa"/>
            <w:hideMark/>
          </w:tcPr>
          <w:p w14:paraId="746E9ECD" w14:textId="08C3BAE2" w:rsidR="009233F7" w:rsidRPr="009233F7" w:rsidRDefault="009233F7" w:rsidP="009233F7">
            <w:pPr>
              <w:jc w:val="both"/>
              <w:outlineLvl w:val="0"/>
              <w:rPr>
                <w:rFonts w:ascii="Arial" w:hAnsi="Arial" w:cs="Arial"/>
                <w:b w:val="0"/>
                <w:bCs w:val="0"/>
                <w:sz w:val="16"/>
                <w:szCs w:val="16"/>
              </w:rPr>
            </w:pPr>
            <w:proofErr w:type="spellStart"/>
            <w:r w:rsidRPr="009233F7">
              <w:rPr>
                <w:rFonts w:ascii="Arial" w:hAnsi="Arial" w:cs="Arial"/>
                <w:b w:val="0"/>
                <w:bCs w:val="0"/>
                <w:sz w:val="16"/>
                <w:szCs w:val="16"/>
              </w:rPr>
              <w:t>Galvaniho</w:t>
            </w:r>
            <w:proofErr w:type="spellEnd"/>
            <w:r w:rsidRPr="009233F7">
              <w:rPr>
                <w:rFonts w:ascii="Arial" w:hAnsi="Arial" w:cs="Arial"/>
                <w:b w:val="0"/>
                <w:bCs w:val="0"/>
                <w:sz w:val="16"/>
                <w:szCs w:val="16"/>
              </w:rPr>
              <w:t xml:space="preserve"> Business Center III</w:t>
            </w:r>
          </w:p>
        </w:tc>
        <w:tc>
          <w:tcPr>
            <w:tcW w:w="1843" w:type="dxa"/>
            <w:noWrap/>
            <w:hideMark/>
          </w:tcPr>
          <w:p w14:paraId="52CF1C5A" w14:textId="109A8073" w:rsidR="009233F7" w:rsidRPr="009233F7" w:rsidRDefault="009233F7" w:rsidP="009233F7">
            <w:pPr>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233F7">
              <w:rPr>
                <w:rFonts w:ascii="Arial" w:hAnsi="Arial" w:cs="Arial"/>
                <w:sz w:val="16"/>
                <w:szCs w:val="16"/>
              </w:rPr>
              <w:t>2800</w:t>
            </w:r>
          </w:p>
        </w:tc>
        <w:tc>
          <w:tcPr>
            <w:tcW w:w="3260" w:type="dxa"/>
            <w:noWrap/>
            <w:hideMark/>
          </w:tcPr>
          <w:p w14:paraId="6E7F8887" w14:textId="22B12FD7" w:rsidR="009233F7" w:rsidRPr="008F514F" w:rsidRDefault="009233F7" w:rsidP="009233F7">
            <w:pPr>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6669CB">
              <w:rPr>
                <w:rFonts w:ascii="Arial" w:hAnsi="Arial" w:cs="Arial"/>
                <w:sz w:val="16"/>
                <w:szCs w:val="16"/>
              </w:rPr>
              <w:t>IT</w:t>
            </w:r>
          </w:p>
        </w:tc>
        <w:tc>
          <w:tcPr>
            <w:tcW w:w="1990" w:type="dxa"/>
            <w:noWrap/>
            <w:hideMark/>
          </w:tcPr>
          <w:p w14:paraId="2DA58919" w14:textId="55E9BEE3" w:rsidR="009233F7" w:rsidRPr="008F514F" w:rsidRDefault="009233F7" w:rsidP="009233F7">
            <w:pPr>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Renegotiation</w:t>
            </w:r>
          </w:p>
        </w:tc>
      </w:tr>
      <w:tr w:rsidR="009233F7" w:rsidRPr="008F514F" w14:paraId="7EE0C7C3" w14:textId="77777777" w:rsidTr="00F653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9" w:type="dxa"/>
            <w:hideMark/>
          </w:tcPr>
          <w:p w14:paraId="276FA03E" w14:textId="0C2B3B19" w:rsidR="009233F7" w:rsidRPr="009233F7" w:rsidRDefault="009233F7" w:rsidP="009233F7">
            <w:pPr>
              <w:jc w:val="both"/>
              <w:outlineLvl w:val="0"/>
              <w:rPr>
                <w:rFonts w:ascii="Arial" w:hAnsi="Arial" w:cs="Arial"/>
                <w:b w:val="0"/>
                <w:bCs w:val="0"/>
                <w:sz w:val="16"/>
                <w:szCs w:val="16"/>
              </w:rPr>
            </w:pPr>
            <w:r w:rsidRPr="009233F7">
              <w:rPr>
                <w:rFonts w:ascii="Arial" w:hAnsi="Arial" w:cs="Arial"/>
                <w:b w:val="0"/>
                <w:bCs w:val="0"/>
                <w:sz w:val="16"/>
                <w:szCs w:val="16"/>
              </w:rPr>
              <w:t>Digital Park</w:t>
            </w:r>
          </w:p>
        </w:tc>
        <w:tc>
          <w:tcPr>
            <w:tcW w:w="1843" w:type="dxa"/>
            <w:noWrap/>
            <w:hideMark/>
          </w:tcPr>
          <w:p w14:paraId="006320DA" w14:textId="7F75AB56" w:rsidR="009233F7" w:rsidRPr="009233F7" w:rsidRDefault="009233F7" w:rsidP="009233F7">
            <w:pPr>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233F7">
              <w:rPr>
                <w:rFonts w:ascii="Arial" w:hAnsi="Arial" w:cs="Arial"/>
                <w:sz w:val="16"/>
                <w:szCs w:val="16"/>
              </w:rPr>
              <w:t>2208</w:t>
            </w:r>
          </w:p>
        </w:tc>
        <w:tc>
          <w:tcPr>
            <w:tcW w:w="3260" w:type="dxa"/>
            <w:noWrap/>
            <w:hideMark/>
          </w:tcPr>
          <w:p w14:paraId="75EFF2C1" w14:textId="438367AA"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6669CB">
              <w:rPr>
                <w:rFonts w:ascii="Arial" w:hAnsi="Arial" w:cs="Arial"/>
                <w:sz w:val="16"/>
                <w:szCs w:val="16"/>
              </w:rPr>
              <w:t>Prof. services</w:t>
            </w:r>
          </w:p>
        </w:tc>
        <w:tc>
          <w:tcPr>
            <w:tcW w:w="1990" w:type="dxa"/>
            <w:noWrap/>
            <w:hideMark/>
          </w:tcPr>
          <w:p w14:paraId="1140D2B9" w14:textId="235DA6E5" w:rsidR="009233F7" w:rsidRPr="008F514F" w:rsidRDefault="009233F7" w:rsidP="009233F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Cs/>
                <w:sz w:val="16"/>
                <w:szCs w:val="16"/>
              </w:rPr>
              <w:t>Renegotiation</w:t>
            </w:r>
          </w:p>
        </w:tc>
      </w:tr>
      <w:tr w:rsidR="009233F7" w:rsidRPr="008F514F" w14:paraId="752BD016" w14:textId="77777777" w:rsidTr="00F65343">
        <w:trPr>
          <w:trHeight w:val="255"/>
        </w:trPr>
        <w:tc>
          <w:tcPr>
            <w:cnfStyle w:val="001000000000" w:firstRow="0" w:lastRow="0" w:firstColumn="1" w:lastColumn="0" w:oddVBand="0" w:evenVBand="0" w:oddHBand="0" w:evenHBand="0" w:firstRowFirstColumn="0" w:firstRowLastColumn="0" w:lastRowFirstColumn="0" w:lastRowLastColumn="0"/>
            <w:tcW w:w="3119" w:type="dxa"/>
            <w:hideMark/>
          </w:tcPr>
          <w:p w14:paraId="105C8BC3" w14:textId="5DB34631" w:rsidR="009233F7" w:rsidRPr="009233F7" w:rsidRDefault="009233F7" w:rsidP="009233F7">
            <w:pPr>
              <w:jc w:val="both"/>
              <w:outlineLvl w:val="0"/>
              <w:rPr>
                <w:rFonts w:ascii="Arial" w:hAnsi="Arial" w:cs="Arial"/>
                <w:b w:val="0"/>
                <w:bCs w:val="0"/>
                <w:sz w:val="16"/>
                <w:szCs w:val="16"/>
              </w:rPr>
            </w:pPr>
            <w:proofErr w:type="spellStart"/>
            <w:r w:rsidRPr="009233F7">
              <w:rPr>
                <w:rFonts w:ascii="Arial" w:hAnsi="Arial" w:cs="Arial"/>
                <w:b w:val="0"/>
                <w:bCs w:val="0"/>
                <w:sz w:val="16"/>
                <w:szCs w:val="16"/>
              </w:rPr>
              <w:t>Einpark</w:t>
            </w:r>
            <w:proofErr w:type="spellEnd"/>
            <w:r w:rsidRPr="009233F7">
              <w:rPr>
                <w:rFonts w:ascii="Arial" w:hAnsi="Arial" w:cs="Arial"/>
                <w:b w:val="0"/>
                <w:bCs w:val="0"/>
                <w:sz w:val="16"/>
                <w:szCs w:val="16"/>
              </w:rPr>
              <w:t xml:space="preserve"> Offices</w:t>
            </w:r>
          </w:p>
        </w:tc>
        <w:tc>
          <w:tcPr>
            <w:tcW w:w="1843" w:type="dxa"/>
            <w:noWrap/>
            <w:hideMark/>
          </w:tcPr>
          <w:p w14:paraId="496A7E7F" w14:textId="500541C0" w:rsidR="009233F7" w:rsidRPr="009233F7" w:rsidRDefault="009233F7" w:rsidP="009233F7">
            <w:pPr>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233F7">
              <w:rPr>
                <w:rFonts w:ascii="Arial" w:hAnsi="Arial" w:cs="Arial"/>
                <w:sz w:val="16"/>
                <w:szCs w:val="16"/>
              </w:rPr>
              <w:t>1506</w:t>
            </w:r>
          </w:p>
        </w:tc>
        <w:tc>
          <w:tcPr>
            <w:tcW w:w="3260" w:type="dxa"/>
            <w:noWrap/>
            <w:hideMark/>
          </w:tcPr>
          <w:p w14:paraId="1583B2FE" w14:textId="0403BA01" w:rsidR="009233F7" w:rsidRPr="008F514F" w:rsidRDefault="009233F7" w:rsidP="009233F7">
            <w:pPr>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6669CB">
              <w:rPr>
                <w:rFonts w:ascii="Arial" w:hAnsi="Arial" w:cs="Arial"/>
                <w:sz w:val="16"/>
                <w:szCs w:val="16"/>
              </w:rPr>
              <w:t>IT</w:t>
            </w:r>
          </w:p>
        </w:tc>
        <w:tc>
          <w:tcPr>
            <w:tcW w:w="1990" w:type="dxa"/>
            <w:noWrap/>
            <w:hideMark/>
          </w:tcPr>
          <w:p w14:paraId="7876807A" w14:textId="668E4FCD" w:rsidR="009233F7" w:rsidRPr="008F514F" w:rsidRDefault="009233F7" w:rsidP="009233F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color w:val="000000"/>
                <w:sz w:val="16"/>
                <w:szCs w:val="16"/>
                <w:lang w:val="sk-SK" w:eastAsia="sk-SK"/>
              </w:rPr>
              <w:t>Pre-</w:t>
            </w:r>
            <w:proofErr w:type="spellStart"/>
            <w:r w:rsidRPr="0033614F">
              <w:rPr>
                <w:rFonts w:ascii="Arial" w:hAnsi="Arial" w:cs="Arial"/>
                <w:color w:val="000000"/>
                <w:sz w:val="16"/>
                <w:szCs w:val="16"/>
                <w:lang w:val="sk-SK" w:eastAsia="sk-SK"/>
              </w:rPr>
              <w:t>lease</w:t>
            </w:r>
            <w:proofErr w:type="spellEnd"/>
          </w:p>
        </w:tc>
      </w:tr>
      <w:tr w:rsidR="009233F7" w:rsidRPr="008F514F" w14:paraId="62DFB6D0" w14:textId="77777777" w:rsidTr="00F653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9" w:type="dxa"/>
            <w:hideMark/>
          </w:tcPr>
          <w:p w14:paraId="2CDAE14B" w14:textId="16D52C64" w:rsidR="009233F7" w:rsidRPr="009233F7" w:rsidRDefault="009233F7" w:rsidP="009233F7">
            <w:pPr>
              <w:jc w:val="both"/>
              <w:outlineLvl w:val="0"/>
              <w:rPr>
                <w:rFonts w:ascii="Arial" w:hAnsi="Arial" w:cs="Arial"/>
                <w:b w:val="0"/>
                <w:bCs w:val="0"/>
                <w:sz w:val="16"/>
                <w:szCs w:val="16"/>
              </w:rPr>
            </w:pPr>
            <w:proofErr w:type="spellStart"/>
            <w:r w:rsidRPr="009233F7">
              <w:rPr>
                <w:rFonts w:ascii="Arial" w:hAnsi="Arial" w:cs="Arial"/>
                <w:b w:val="0"/>
                <w:bCs w:val="0"/>
                <w:sz w:val="16"/>
                <w:szCs w:val="16"/>
              </w:rPr>
              <w:t>Eurovea</w:t>
            </w:r>
            <w:proofErr w:type="spellEnd"/>
            <w:r w:rsidRPr="009233F7">
              <w:rPr>
                <w:rFonts w:ascii="Arial" w:hAnsi="Arial" w:cs="Arial"/>
                <w:b w:val="0"/>
                <w:bCs w:val="0"/>
                <w:sz w:val="16"/>
                <w:szCs w:val="16"/>
              </w:rPr>
              <w:t xml:space="preserve"> Central</w:t>
            </w:r>
          </w:p>
        </w:tc>
        <w:tc>
          <w:tcPr>
            <w:tcW w:w="1843" w:type="dxa"/>
            <w:noWrap/>
            <w:hideMark/>
          </w:tcPr>
          <w:p w14:paraId="6401B31D" w14:textId="5C5ACE9E" w:rsidR="009233F7" w:rsidRPr="009233F7" w:rsidRDefault="009233F7" w:rsidP="009233F7">
            <w:pPr>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233F7">
              <w:rPr>
                <w:rFonts w:ascii="Arial" w:hAnsi="Arial" w:cs="Arial"/>
                <w:sz w:val="16"/>
                <w:szCs w:val="16"/>
              </w:rPr>
              <w:t>1080</w:t>
            </w:r>
          </w:p>
        </w:tc>
        <w:tc>
          <w:tcPr>
            <w:tcW w:w="3260" w:type="dxa"/>
            <w:noWrap/>
            <w:hideMark/>
          </w:tcPr>
          <w:p w14:paraId="30415A92" w14:textId="06F06A64"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6669CB">
              <w:rPr>
                <w:rFonts w:ascii="Arial" w:hAnsi="Arial" w:cs="Arial"/>
                <w:sz w:val="16"/>
                <w:szCs w:val="16"/>
              </w:rPr>
              <w:t>Finance/ Banking/Insurance</w:t>
            </w:r>
          </w:p>
        </w:tc>
        <w:tc>
          <w:tcPr>
            <w:tcW w:w="1990" w:type="dxa"/>
            <w:noWrap/>
            <w:hideMark/>
          </w:tcPr>
          <w:p w14:paraId="563C5041" w14:textId="601D0D7D"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246365">
              <w:rPr>
                <w:rFonts w:ascii="Arial" w:hAnsi="Arial" w:cs="Arial"/>
                <w:color w:val="000000"/>
                <w:sz w:val="16"/>
                <w:szCs w:val="16"/>
                <w:lang w:val="sk-SK" w:eastAsia="sk-SK"/>
              </w:rPr>
              <w:t xml:space="preserve">New </w:t>
            </w:r>
            <w:proofErr w:type="spellStart"/>
            <w:r w:rsidRPr="00246365">
              <w:rPr>
                <w:rFonts w:ascii="Arial" w:hAnsi="Arial" w:cs="Arial"/>
                <w:color w:val="000000"/>
                <w:sz w:val="16"/>
                <w:szCs w:val="16"/>
                <w:lang w:val="sk-SK" w:eastAsia="sk-SK"/>
              </w:rPr>
              <w:t>lease</w:t>
            </w:r>
            <w:proofErr w:type="spellEnd"/>
          </w:p>
        </w:tc>
      </w:tr>
      <w:tr w:rsidR="009233F7" w:rsidRPr="008F514F" w14:paraId="641EBF37" w14:textId="77777777" w:rsidTr="00F65343">
        <w:trPr>
          <w:trHeight w:val="255"/>
        </w:trPr>
        <w:tc>
          <w:tcPr>
            <w:cnfStyle w:val="001000000000" w:firstRow="0" w:lastRow="0" w:firstColumn="1" w:lastColumn="0" w:oddVBand="0" w:evenVBand="0" w:oddHBand="0" w:evenHBand="0" w:firstRowFirstColumn="0" w:firstRowLastColumn="0" w:lastRowFirstColumn="0" w:lastRowLastColumn="0"/>
            <w:tcW w:w="3119" w:type="dxa"/>
            <w:hideMark/>
          </w:tcPr>
          <w:p w14:paraId="3B75244D" w14:textId="35827351" w:rsidR="009233F7" w:rsidRPr="009233F7" w:rsidRDefault="009233F7" w:rsidP="009233F7">
            <w:pPr>
              <w:jc w:val="both"/>
              <w:outlineLvl w:val="0"/>
              <w:rPr>
                <w:rFonts w:ascii="Arial" w:hAnsi="Arial" w:cs="Arial"/>
                <w:b w:val="0"/>
                <w:bCs w:val="0"/>
                <w:sz w:val="16"/>
                <w:szCs w:val="16"/>
              </w:rPr>
            </w:pPr>
            <w:proofErr w:type="spellStart"/>
            <w:r w:rsidRPr="009233F7">
              <w:rPr>
                <w:rFonts w:ascii="Arial" w:hAnsi="Arial" w:cs="Arial"/>
                <w:b w:val="0"/>
                <w:bCs w:val="0"/>
                <w:sz w:val="16"/>
                <w:szCs w:val="16"/>
              </w:rPr>
              <w:t>Zuckermandel</w:t>
            </w:r>
            <w:proofErr w:type="spellEnd"/>
            <w:r w:rsidRPr="009233F7">
              <w:rPr>
                <w:rFonts w:ascii="Arial" w:hAnsi="Arial" w:cs="Arial"/>
                <w:b w:val="0"/>
                <w:bCs w:val="0"/>
                <w:sz w:val="16"/>
                <w:szCs w:val="16"/>
              </w:rPr>
              <w:t xml:space="preserve"> Hill Side</w:t>
            </w:r>
          </w:p>
        </w:tc>
        <w:tc>
          <w:tcPr>
            <w:tcW w:w="1843" w:type="dxa"/>
            <w:noWrap/>
            <w:hideMark/>
          </w:tcPr>
          <w:p w14:paraId="17FE768A" w14:textId="273ECB5D" w:rsidR="009233F7" w:rsidRPr="009233F7" w:rsidRDefault="009233F7" w:rsidP="009233F7">
            <w:pPr>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233F7">
              <w:rPr>
                <w:rFonts w:ascii="Arial" w:hAnsi="Arial" w:cs="Arial"/>
                <w:sz w:val="16"/>
                <w:szCs w:val="16"/>
              </w:rPr>
              <w:t>968</w:t>
            </w:r>
          </w:p>
        </w:tc>
        <w:tc>
          <w:tcPr>
            <w:tcW w:w="3260" w:type="dxa"/>
            <w:noWrap/>
            <w:hideMark/>
          </w:tcPr>
          <w:p w14:paraId="18165A70" w14:textId="15C0EE74" w:rsidR="009233F7" w:rsidRPr="008F514F" w:rsidRDefault="009233F7" w:rsidP="009233F7">
            <w:pPr>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6669CB">
              <w:rPr>
                <w:rFonts w:ascii="Arial" w:hAnsi="Arial" w:cs="Arial"/>
                <w:sz w:val="16"/>
                <w:szCs w:val="16"/>
              </w:rPr>
              <w:t>Prof. services</w:t>
            </w:r>
          </w:p>
        </w:tc>
        <w:tc>
          <w:tcPr>
            <w:tcW w:w="1990" w:type="dxa"/>
            <w:noWrap/>
            <w:hideMark/>
          </w:tcPr>
          <w:p w14:paraId="2C98270C" w14:textId="5343A7FF" w:rsidR="009233F7" w:rsidRPr="008F514F" w:rsidRDefault="009233F7" w:rsidP="009233F7">
            <w:pPr>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246365">
              <w:rPr>
                <w:rFonts w:ascii="Arial" w:hAnsi="Arial" w:cs="Arial"/>
                <w:color w:val="000000"/>
                <w:sz w:val="16"/>
                <w:szCs w:val="16"/>
                <w:lang w:val="sk-SK" w:eastAsia="sk-SK"/>
              </w:rPr>
              <w:t xml:space="preserve">New </w:t>
            </w:r>
            <w:proofErr w:type="spellStart"/>
            <w:r w:rsidRPr="00246365">
              <w:rPr>
                <w:rFonts w:ascii="Arial" w:hAnsi="Arial" w:cs="Arial"/>
                <w:color w:val="000000"/>
                <w:sz w:val="16"/>
                <w:szCs w:val="16"/>
                <w:lang w:val="sk-SK" w:eastAsia="sk-SK"/>
              </w:rPr>
              <w:t>lease</w:t>
            </w:r>
            <w:proofErr w:type="spellEnd"/>
          </w:p>
        </w:tc>
      </w:tr>
      <w:tr w:rsidR="009233F7" w:rsidRPr="008F514F" w14:paraId="73505BAC" w14:textId="77777777" w:rsidTr="00F653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9" w:type="dxa"/>
            <w:hideMark/>
          </w:tcPr>
          <w:p w14:paraId="0A9A823E" w14:textId="4593D2D4" w:rsidR="009233F7" w:rsidRPr="009233F7" w:rsidRDefault="009233F7" w:rsidP="009233F7">
            <w:pPr>
              <w:jc w:val="both"/>
              <w:outlineLvl w:val="0"/>
              <w:rPr>
                <w:rFonts w:ascii="Arial" w:hAnsi="Arial" w:cs="Arial"/>
                <w:b w:val="0"/>
                <w:bCs w:val="0"/>
                <w:sz w:val="16"/>
                <w:szCs w:val="16"/>
              </w:rPr>
            </w:pPr>
            <w:r w:rsidRPr="009233F7">
              <w:rPr>
                <w:rFonts w:ascii="Arial" w:hAnsi="Arial" w:cs="Arial"/>
                <w:b w:val="0"/>
                <w:bCs w:val="0"/>
                <w:sz w:val="16"/>
                <w:szCs w:val="16"/>
              </w:rPr>
              <w:t>Green Point Offices</w:t>
            </w:r>
          </w:p>
        </w:tc>
        <w:tc>
          <w:tcPr>
            <w:tcW w:w="1843" w:type="dxa"/>
            <w:noWrap/>
            <w:hideMark/>
          </w:tcPr>
          <w:p w14:paraId="64832F28" w14:textId="0A7B667F" w:rsidR="009233F7" w:rsidRPr="009233F7" w:rsidRDefault="009233F7" w:rsidP="009233F7">
            <w:pPr>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233F7">
              <w:rPr>
                <w:rFonts w:ascii="Arial" w:hAnsi="Arial" w:cs="Arial"/>
                <w:sz w:val="16"/>
                <w:szCs w:val="16"/>
              </w:rPr>
              <w:t>927</w:t>
            </w:r>
          </w:p>
        </w:tc>
        <w:tc>
          <w:tcPr>
            <w:tcW w:w="3260" w:type="dxa"/>
            <w:noWrap/>
            <w:hideMark/>
          </w:tcPr>
          <w:p w14:paraId="17B4F8EF" w14:textId="0F15BF41"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6669CB">
              <w:rPr>
                <w:rFonts w:ascii="Arial" w:hAnsi="Arial" w:cs="Arial"/>
                <w:sz w:val="16"/>
                <w:szCs w:val="16"/>
              </w:rPr>
              <w:t>Manufacturing/Construction</w:t>
            </w:r>
          </w:p>
        </w:tc>
        <w:tc>
          <w:tcPr>
            <w:tcW w:w="1990" w:type="dxa"/>
            <w:noWrap/>
            <w:hideMark/>
          </w:tcPr>
          <w:p w14:paraId="14BEB5C7" w14:textId="6FB537EF"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246365">
              <w:rPr>
                <w:rFonts w:ascii="Arial" w:hAnsi="Arial" w:cs="Arial"/>
                <w:color w:val="000000"/>
                <w:sz w:val="16"/>
                <w:szCs w:val="16"/>
                <w:lang w:val="sk-SK" w:eastAsia="sk-SK"/>
              </w:rPr>
              <w:t>New lease</w:t>
            </w:r>
          </w:p>
        </w:tc>
      </w:tr>
      <w:tr w:rsidR="009233F7" w:rsidRPr="008F514F" w14:paraId="0A94AA53" w14:textId="77777777" w:rsidTr="00F65343">
        <w:trPr>
          <w:trHeight w:val="255"/>
        </w:trPr>
        <w:tc>
          <w:tcPr>
            <w:cnfStyle w:val="001000000000" w:firstRow="0" w:lastRow="0" w:firstColumn="1" w:lastColumn="0" w:oddVBand="0" w:evenVBand="0" w:oddHBand="0" w:evenHBand="0" w:firstRowFirstColumn="0" w:firstRowLastColumn="0" w:lastRowFirstColumn="0" w:lastRowLastColumn="0"/>
            <w:tcW w:w="3119" w:type="dxa"/>
            <w:hideMark/>
          </w:tcPr>
          <w:p w14:paraId="6CD9C127" w14:textId="08C34453" w:rsidR="009233F7" w:rsidRPr="009233F7" w:rsidRDefault="009233F7" w:rsidP="009233F7">
            <w:pPr>
              <w:jc w:val="both"/>
              <w:outlineLvl w:val="0"/>
              <w:rPr>
                <w:rFonts w:ascii="Arial" w:hAnsi="Arial" w:cs="Arial"/>
                <w:b w:val="0"/>
                <w:bCs w:val="0"/>
                <w:sz w:val="16"/>
                <w:szCs w:val="16"/>
              </w:rPr>
            </w:pPr>
            <w:r w:rsidRPr="009233F7">
              <w:rPr>
                <w:rFonts w:ascii="Arial" w:hAnsi="Arial" w:cs="Arial"/>
                <w:b w:val="0"/>
                <w:bCs w:val="0"/>
                <w:sz w:val="16"/>
                <w:szCs w:val="16"/>
              </w:rPr>
              <w:t>Green Point Offices</w:t>
            </w:r>
          </w:p>
        </w:tc>
        <w:tc>
          <w:tcPr>
            <w:tcW w:w="1843" w:type="dxa"/>
            <w:noWrap/>
            <w:hideMark/>
          </w:tcPr>
          <w:p w14:paraId="78D3F61E" w14:textId="1B2E173E" w:rsidR="009233F7" w:rsidRPr="009233F7" w:rsidRDefault="009233F7" w:rsidP="009233F7">
            <w:pPr>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233F7">
              <w:rPr>
                <w:rFonts w:ascii="Arial" w:hAnsi="Arial" w:cs="Arial"/>
                <w:sz w:val="16"/>
                <w:szCs w:val="16"/>
              </w:rPr>
              <w:t>927</w:t>
            </w:r>
          </w:p>
        </w:tc>
        <w:tc>
          <w:tcPr>
            <w:tcW w:w="3260" w:type="dxa"/>
            <w:noWrap/>
            <w:hideMark/>
          </w:tcPr>
          <w:p w14:paraId="7695CDF6" w14:textId="5056D36A" w:rsidR="009233F7" w:rsidRPr="008F514F" w:rsidRDefault="009233F7" w:rsidP="009233F7">
            <w:pPr>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6669CB">
              <w:rPr>
                <w:rFonts w:ascii="Arial" w:hAnsi="Arial" w:cs="Arial"/>
                <w:sz w:val="16"/>
                <w:szCs w:val="16"/>
              </w:rPr>
              <w:t>Manufacturing/Construction</w:t>
            </w:r>
          </w:p>
        </w:tc>
        <w:tc>
          <w:tcPr>
            <w:tcW w:w="1990" w:type="dxa"/>
            <w:noWrap/>
            <w:hideMark/>
          </w:tcPr>
          <w:p w14:paraId="6C0B5A50" w14:textId="13073785" w:rsidR="009233F7" w:rsidRPr="008F514F" w:rsidRDefault="009233F7" w:rsidP="009233F7">
            <w:pPr>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246365">
              <w:rPr>
                <w:rFonts w:ascii="Arial" w:hAnsi="Arial" w:cs="Arial"/>
                <w:color w:val="000000"/>
                <w:sz w:val="16"/>
                <w:szCs w:val="16"/>
                <w:lang w:val="sk-SK" w:eastAsia="sk-SK"/>
              </w:rPr>
              <w:t xml:space="preserve">New </w:t>
            </w:r>
            <w:proofErr w:type="spellStart"/>
            <w:r w:rsidRPr="00246365">
              <w:rPr>
                <w:rFonts w:ascii="Arial" w:hAnsi="Arial" w:cs="Arial"/>
                <w:color w:val="000000"/>
                <w:sz w:val="16"/>
                <w:szCs w:val="16"/>
                <w:lang w:val="sk-SK" w:eastAsia="sk-SK"/>
              </w:rPr>
              <w:t>lease</w:t>
            </w:r>
            <w:proofErr w:type="spellEnd"/>
          </w:p>
        </w:tc>
      </w:tr>
      <w:tr w:rsidR="009233F7" w:rsidRPr="008F514F" w14:paraId="1A33BEA7" w14:textId="77777777" w:rsidTr="00F653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9" w:type="dxa"/>
            <w:hideMark/>
          </w:tcPr>
          <w:p w14:paraId="0456DDFD" w14:textId="7400188A" w:rsidR="009233F7" w:rsidRPr="009233F7" w:rsidRDefault="009233F7" w:rsidP="009233F7">
            <w:pPr>
              <w:jc w:val="both"/>
              <w:outlineLvl w:val="0"/>
              <w:rPr>
                <w:rFonts w:ascii="Arial" w:hAnsi="Arial" w:cs="Arial"/>
                <w:b w:val="0"/>
                <w:bCs w:val="0"/>
                <w:sz w:val="16"/>
                <w:szCs w:val="16"/>
              </w:rPr>
            </w:pPr>
            <w:r w:rsidRPr="009233F7">
              <w:rPr>
                <w:rFonts w:ascii="Arial" w:hAnsi="Arial" w:cs="Arial"/>
                <w:b w:val="0"/>
                <w:bCs w:val="0"/>
                <w:sz w:val="16"/>
                <w:szCs w:val="16"/>
              </w:rPr>
              <w:t xml:space="preserve">AC </w:t>
            </w:r>
            <w:proofErr w:type="spellStart"/>
            <w:r w:rsidRPr="009233F7">
              <w:rPr>
                <w:rFonts w:ascii="Arial" w:hAnsi="Arial" w:cs="Arial"/>
                <w:b w:val="0"/>
                <w:bCs w:val="0"/>
                <w:sz w:val="16"/>
                <w:szCs w:val="16"/>
              </w:rPr>
              <w:t>Ružová</w:t>
            </w:r>
            <w:proofErr w:type="spellEnd"/>
            <w:r w:rsidRPr="009233F7">
              <w:rPr>
                <w:rFonts w:ascii="Arial" w:hAnsi="Arial" w:cs="Arial"/>
                <w:b w:val="0"/>
                <w:bCs w:val="0"/>
                <w:sz w:val="16"/>
                <w:szCs w:val="16"/>
              </w:rPr>
              <w:t xml:space="preserve"> dolina</w:t>
            </w:r>
          </w:p>
        </w:tc>
        <w:tc>
          <w:tcPr>
            <w:tcW w:w="1843" w:type="dxa"/>
            <w:noWrap/>
            <w:hideMark/>
          </w:tcPr>
          <w:p w14:paraId="138EF05B" w14:textId="40757DCE" w:rsidR="009233F7" w:rsidRPr="009233F7" w:rsidRDefault="009233F7" w:rsidP="009233F7">
            <w:pPr>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233F7">
              <w:rPr>
                <w:rFonts w:ascii="Arial" w:hAnsi="Arial" w:cs="Arial"/>
                <w:sz w:val="16"/>
                <w:szCs w:val="16"/>
              </w:rPr>
              <w:t>917</w:t>
            </w:r>
          </w:p>
        </w:tc>
        <w:tc>
          <w:tcPr>
            <w:tcW w:w="3260" w:type="dxa"/>
            <w:noWrap/>
            <w:hideMark/>
          </w:tcPr>
          <w:p w14:paraId="6DA7846F" w14:textId="2E85D0AD"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6669CB">
              <w:rPr>
                <w:rFonts w:ascii="Arial" w:hAnsi="Arial" w:cs="Arial"/>
                <w:sz w:val="16"/>
                <w:szCs w:val="16"/>
              </w:rPr>
              <w:t>Public/Embassy/Trade Council/Diplomatic</w:t>
            </w:r>
          </w:p>
        </w:tc>
        <w:tc>
          <w:tcPr>
            <w:tcW w:w="1990" w:type="dxa"/>
            <w:noWrap/>
            <w:hideMark/>
          </w:tcPr>
          <w:p w14:paraId="4E908B10" w14:textId="3CED0AFB"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246365">
              <w:rPr>
                <w:rFonts w:ascii="Arial" w:hAnsi="Arial" w:cs="Arial"/>
                <w:color w:val="000000"/>
                <w:sz w:val="16"/>
                <w:szCs w:val="16"/>
                <w:lang w:val="sk-SK" w:eastAsia="sk-SK"/>
              </w:rPr>
              <w:t xml:space="preserve">New </w:t>
            </w:r>
            <w:proofErr w:type="spellStart"/>
            <w:r w:rsidRPr="00246365">
              <w:rPr>
                <w:rFonts w:ascii="Arial" w:hAnsi="Arial" w:cs="Arial"/>
                <w:color w:val="000000"/>
                <w:sz w:val="16"/>
                <w:szCs w:val="16"/>
                <w:lang w:val="sk-SK" w:eastAsia="sk-SK"/>
              </w:rPr>
              <w:t>lease</w:t>
            </w:r>
            <w:proofErr w:type="spellEnd"/>
          </w:p>
        </w:tc>
      </w:tr>
      <w:tr w:rsidR="009233F7" w:rsidRPr="008F514F" w14:paraId="1BC8199D" w14:textId="77777777" w:rsidTr="00F65343">
        <w:trPr>
          <w:trHeight w:val="255"/>
        </w:trPr>
        <w:tc>
          <w:tcPr>
            <w:cnfStyle w:val="001000000000" w:firstRow="0" w:lastRow="0" w:firstColumn="1" w:lastColumn="0" w:oddVBand="0" w:evenVBand="0" w:oddHBand="0" w:evenHBand="0" w:firstRowFirstColumn="0" w:firstRowLastColumn="0" w:lastRowFirstColumn="0" w:lastRowLastColumn="0"/>
            <w:tcW w:w="3119" w:type="dxa"/>
            <w:hideMark/>
          </w:tcPr>
          <w:p w14:paraId="4E25DE57" w14:textId="00BEA7FB" w:rsidR="009233F7" w:rsidRPr="009233F7" w:rsidRDefault="009233F7" w:rsidP="009233F7">
            <w:pPr>
              <w:jc w:val="both"/>
              <w:outlineLvl w:val="0"/>
              <w:rPr>
                <w:rFonts w:ascii="Arial" w:hAnsi="Arial" w:cs="Arial"/>
                <w:b w:val="0"/>
                <w:bCs w:val="0"/>
                <w:sz w:val="16"/>
                <w:szCs w:val="16"/>
              </w:rPr>
            </w:pPr>
            <w:r w:rsidRPr="009233F7">
              <w:rPr>
                <w:rFonts w:ascii="Arial" w:hAnsi="Arial" w:cs="Arial"/>
                <w:b w:val="0"/>
                <w:bCs w:val="0"/>
                <w:sz w:val="16"/>
                <w:szCs w:val="16"/>
              </w:rPr>
              <w:t>Apollo Business Center II</w:t>
            </w:r>
          </w:p>
        </w:tc>
        <w:tc>
          <w:tcPr>
            <w:tcW w:w="1843" w:type="dxa"/>
            <w:noWrap/>
            <w:hideMark/>
          </w:tcPr>
          <w:p w14:paraId="1DCF88FF" w14:textId="141FF8AD" w:rsidR="009233F7" w:rsidRPr="009233F7" w:rsidRDefault="009233F7" w:rsidP="009233F7">
            <w:pPr>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233F7">
              <w:rPr>
                <w:rFonts w:ascii="Arial" w:hAnsi="Arial" w:cs="Arial"/>
                <w:sz w:val="16"/>
                <w:szCs w:val="16"/>
              </w:rPr>
              <w:t>900</w:t>
            </w:r>
          </w:p>
        </w:tc>
        <w:tc>
          <w:tcPr>
            <w:tcW w:w="3260" w:type="dxa"/>
            <w:noWrap/>
            <w:hideMark/>
          </w:tcPr>
          <w:p w14:paraId="3DC76CDD" w14:textId="39A3823C" w:rsidR="009233F7" w:rsidRPr="008F514F" w:rsidRDefault="009233F7" w:rsidP="009233F7">
            <w:pPr>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6669CB">
              <w:rPr>
                <w:rFonts w:ascii="Arial" w:hAnsi="Arial" w:cs="Arial"/>
                <w:sz w:val="16"/>
                <w:szCs w:val="16"/>
              </w:rPr>
              <w:t>Prof. services</w:t>
            </w:r>
          </w:p>
        </w:tc>
        <w:tc>
          <w:tcPr>
            <w:tcW w:w="1990" w:type="dxa"/>
            <w:noWrap/>
            <w:hideMark/>
          </w:tcPr>
          <w:p w14:paraId="26A8260A" w14:textId="46D374BC" w:rsidR="009233F7" w:rsidRPr="008F514F" w:rsidRDefault="009233F7" w:rsidP="009233F7">
            <w:pPr>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E73AB7">
              <w:rPr>
                <w:rFonts w:ascii="Arial" w:hAnsi="Arial" w:cs="Arial"/>
                <w:bCs/>
                <w:sz w:val="16"/>
                <w:szCs w:val="16"/>
              </w:rPr>
              <w:t>Renegotiation</w:t>
            </w:r>
          </w:p>
        </w:tc>
      </w:tr>
      <w:tr w:rsidR="009233F7" w:rsidRPr="008F514F" w14:paraId="4DFD0255" w14:textId="77777777" w:rsidTr="00F6534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9" w:type="dxa"/>
            <w:hideMark/>
          </w:tcPr>
          <w:p w14:paraId="668B568D" w14:textId="63AB3B2E" w:rsidR="009233F7" w:rsidRPr="009233F7" w:rsidRDefault="009233F7" w:rsidP="009233F7">
            <w:pPr>
              <w:jc w:val="both"/>
              <w:outlineLvl w:val="0"/>
              <w:rPr>
                <w:rFonts w:ascii="Arial" w:hAnsi="Arial" w:cs="Arial"/>
                <w:b w:val="0"/>
                <w:bCs w:val="0"/>
                <w:sz w:val="16"/>
                <w:szCs w:val="16"/>
              </w:rPr>
            </w:pPr>
            <w:proofErr w:type="spellStart"/>
            <w:r w:rsidRPr="009233F7">
              <w:rPr>
                <w:rFonts w:ascii="Arial" w:hAnsi="Arial" w:cs="Arial"/>
                <w:b w:val="0"/>
                <w:bCs w:val="0"/>
                <w:sz w:val="16"/>
                <w:szCs w:val="16"/>
              </w:rPr>
              <w:t>Lazaretská</w:t>
            </w:r>
            <w:proofErr w:type="spellEnd"/>
            <w:r w:rsidRPr="009233F7">
              <w:rPr>
                <w:rFonts w:ascii="Arial" w:hAnsi="Arial" w:cs="Arial"/>
                <w:b w:val="0"/>
                <w:bCs w:val="0"/>
                <w:sz w:val="16"/>
                <w:szCs w:val="16"/>
              </w:rPr>
              <w:t xml:space="preserve"> 12</w:t>
            </w:r>
          </w:p>
        </w:tc>
        <w:tc>
          <w:tcPr>
            <w:tcW w:w="1843" w:type="dxa"/>
            <w:noWrap/>
            <w:hideMark/>
          </w:tcPr>
          <w:p w14:paraId="0A845A1C" w14:textId="26AAF071" w:rsidR="009233F7" w:rsidRPr="009233F7" w:rsidRDefault="009233F7" w:rsidP="009233F7">
            <w:pPr>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233F7">
              <w:rPr>
                <w:rFonts w:ascii="Arial" w:hAnsi="Arial" w:cs="Arial"/>
                <w:sz w:val="16"/>
                <w:szCs w:val="16"/>
              </w:rPr>
              <w:t>851</w:t>
            </w:r>
          </w:p>
        </w:tc>
        <w:tc>
          <w:tcPr>
            <w:tcW w:w="3260" w:type="dxa"/>
            <w:noWrap/>
            <w:hideMark/>
          </w:tcPr>
          <w:p w14:paraId="12819374" w14:textId="233A4FD7"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6669CB">
              <w:rPr>
                <w:rFonts w:ascii="Arial" w:hAnsi="Arial" w:cs="Arial"/>
                <w:sz w:val="16"/>
                <w:szCs w:val="16"/>
              </w:rPr>
              <w:t>IT</w:t>
            </w:r>
          </w:p>
        </w:tc>
        <w:tc>
          <w:tcPr>
            <w:tcW w:w="1990" w:type="dxa"/>
            <w:noWrap/>
            <w:hideMark/>
          </w:tcPr>
          <w:p w14:paraId="10029439" w14:textId="6D77CDF0" w:rsidR="009233F7" w:rsidRPr="008F514F" w:rsidRDefault="009233F7" w:rsidP="009233F7">
            <w:pPr>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Renegotiation</w:t>
            </w:r>
          </w:p>
        </w:tc>
      </w:tr>
    </w:tbl>
    <w:p w14:paraId="625DE733" w14:textId="477B6911" w:rsidR="00246365" w:rsidRDefault="00246365" w:rsidP="00BF7080">
      <w:pPr>
        <w:jc w:val="both"/>
        <w:outlineLvl w:val="0"/>
        <w:rPr>
          <w:rFonts w:ascii="Arial" w:hAnsi="Arial" w:cs="Arial"/>
          <w:b/>
          <w:bCs/>
          <w:lang w:val="sk-SK"/>
        </w:rPr>
      </w:pPr>
    </w:p>
    <w:p w14:paraId="647A8D56" w14:textId="77777777" w:rsidR="00246365" w:rsidRDefault="00246365" w:rsidP="00BF7080">
      <w:pPr>
        <w:jc w:val="both"/>
        <w:outlineLvl w:val="0"/>
        <w:rPr>
          <w:rFonts w:ascii="Arial" w:hAnsi="Arial" w:cs="Arial"/>
          <w:b/>
          <w:bCs/>
          <w:lang w:val="sk-SK"/>
        </w:rPr>
      </w:pPr>
    </w:p>
    <w:p w14:paraId="0DFCA276" w14:textId="77777777" w:rsidR="006A4F3A" w:rsidRPr="0078688C" w:rsidRDefault="006A4F3A" w:rsidP="006A4F3A">
      <w:pPr>
        <w:jc w:val="both"/>
        <w:outlineLvl w:val="0"/>
        <w:rPr>
          <w:rFonts w:ascii="Arial" w:hAnsi="Arial" w:cs="Arial"/>
          <w:b/>
          <w:bCs/>
        </w:rPr>
      </w:pPr>
      <w:r w:rsidRPr="00CB54CE">
        <w:rPr>
          <w:rFonts w:ascii="Arial" w:hAnsi="Arial" w:cs="Arial"/>
          <w:b/>
          <w:bCs/>
        </w:rPr>
        <w:t>Office Vacancy</w:t>
      </w:r>
    </w:p>
    <w:p w14:paraId="3364E6EF" w14:textId="77777777" w:rsidR="007B4A88" w:rsidRPr="005D218F" w:rsidRDefault="007B4A88" w:rsidP="007B4A88">
      <w:pPr>
        <w:jc w:val="both"/>
        <w:rPr>
          <w:rFonts w:ascii="Arial" w:hAnsi="Arial" w:cs="Arial"/>
          <w:bCs/>
          <w:sz w:val="18"/>
          <w:szCs w:val="18"/>
          <w:lang w:val="sk-SK"/>
        </w:rPr>
      </w:pPr>
    </w:p>
    <w:p w14:paraId="41C423A9" w14:textId="377DE78A" w:rsidR="006A4F3A" w:rsidRDefault="006A4F3A" w:rsidP="006A4F3A">
      <w:pPr>
        <w:autoSpaceDE w:val="0"/>
        <w:autoSpaceDN w:val="0"/>
        <w:adjustRightInd w:val="0"/>
        <w:jc w:val="both"/>
        <w:rPr>
          <w:rFonts w:ascii="Arial" w:eastAsia="SimSun" w:hAnsi="Arial" w:cs="Arial"/>
          <w:sz w:val="18"/>
          <w:szCs w:val="18"/>
          <w:lang w:eastAsia="sk-SK"/>
        </w:rPr>
      </w:pPr>
      <w:r w:rsidRPr="00925F8A">
        <w:rPr>
          <w:rFonts w:ascii="Arial" w:eastAsia="SimSun" w:hAnsi="Arial" w:cs="Arial"/>
          <w:sz w:val="18"/>
          <w:szCs w:val="18"/>
          <w:lang w:eastAsia="sk-SK"/>
        </w:rPr>
        <w:t xml:space="preserve">The overall vacancy rate </w:t>
      </w:r>
      <w:r w:rsidR="00925F8A" w:rsidRPr="00925F8A">
        <w:rPr>
          <w:rFonts w:ascii="Arial" w:eastAsia="SimSun" w:hAnsi="Arial" w:cs="Arial"/>
          <w:sz w:val="18"/>
          <w:szCs w:val="18"/>
          <w:lang w:eastAsia="sk-SK"/>
        </w:rPr>
        <w:t xml:space="preserve">in the </w:t>
      </w:r>
      <w:r w:rsidR="009233F7">
        <w:rPr>
          <w:rFonts w:ascii="Arial" w:eastAsia="SimSun" w:hAnsi="Arial" w:cs="Arial"/>
          <w:sz w:val="18"/>
          <w:szCs w:val="18"/>
          <w:lang w:eastAsia="sk-SK"/>
        </w:rPr>
        <w:t>third</w:t>
      </w:r>
      <w:r w:rsidR="00925F8A" w:rsidRPr="00925F8A">
        <w:rPr>
          <w:rFonts w:ascii="Arial" w:eastAsia="SimSun" w:hAnsi="Arial" w:cs="Arial"/>
          <w:sz w:val="18"/>
          <w:szCs w:val="18"/>
          <w:lang w:eastAsia="sk-SK"/>
        </w:rPr>
        <w:t xml:space="preserve"> </w:t>
      </w:r>
      <w:r w:rsidR="00FD393D" w:rsidRPr="00925F8A">
        <w:rPr>
          <w:rFonts w:ascii="Arial" w:eastAsia="SimSun" w:hAnsi="Arial" w:cs="Arial"/>
          <w:sz w:val="18"/>
          <w:szCs w:val="18"/>
          <w:lang w:eastAsia="sk-SK"/>
        </w:rPr>
        <w:t xml:space="preserve">quarter </w:t>
      </w:r>
      <w:r w:rsidR="00450F1A">
        <w:rPr>
          <w:rFonts w:ascii="Arial" w:eastAsia="SimSun" w:hAnsi="Arial" w:cs="Arial"/>
          <w:sz w:val="18"/>
          <w:szCs w:val="18"/>
          <w:lang w:eastAsia="sk-SK"/>
        </w:rPr>
        <w:t xml:space="preserve">of 2019 </w:t>
      </w:r>
      <w:r w:rsidR="00FD393D" w:rsidRPr="00925F8A">
        <w:rPr>
          <w:rFonts w:ascii="Arial" w:eastAsia="SimSun" w:hAnsi="Arial" w:cs="Arial"/>
          <w:sz w:val="18"/>
          <w:szCs w:val="18"/>
          <w:lang w:eastAsia="sk-SK"/>
        </w:rPr>
        <w:t xml:space="preserve">for Bratislava has </w:t>
      </w:r>
      <w:r w:rsidR="00472431">
        <w:rPr>
          <w:rFonts w:ascii="Arial" w:eastAsia="SimSun" w:hAnsi="Arial" w:cs="Arial"/>
          <w:sz w:val="18"/>
          <w:szCs w:val="18"/>
          <w:lang w:eastAsia="sk-SK"/>
        </w:rPr>
        <w:t>in</w:t>
      </w:r>
      <w:r w:rsidRPr="00925F8A">
        <w:rPr>
          <w:rFonts w:ascii="Arial" w:eastAsia="SimSun" w:hAnsi="Arial" w:cs="Arial"/>
          <w:sz w:val="18"/>
          <w:szCs w:val="18"/>
          <w:lang w:eastAsia="sk-SK"/>
        </w:rPr>
        <w:t xml:space="preserve">creased </w:t>
      </w:r>
      <w:r w:rsidR="00217191" w:rsidRPr="00925F8A">
        <w:rPr>
          <w:rFonts w:ascii="Arial" w:eastAsia="SimSun" w:hAnsi="Arial" w:cs="Arial"/>
          <w:sz w:val="18"/>
          <w:szCs w:val="18"/>
          <w:lang w:eastAsia="sk-SK"/>
        </w:rPr>
        <w:t xml:space="preserve">to </w:t>
      </w:r>
      <w:r w:rsidR="009B52EA">
        <w:rPr>
          <w:rFonts w:ascii="Arial" w:eastAsia="SimSun" w:hAnsi="Arial" w:cs="Arial"/>
          <w:sz w:val="18"/>
          <w:szCs w:val="18"/>
          <w:lang w:eastAsia="sk-SK"/>
        </w:rPr>
        <w:t>8.</w:t>
      </w:r>
      <w:r w:rsidR="009233F7">
        <w:rPr>
          <w:rFonts w:ascii="Arial" w:eastAsia="SimSun" w:hAnsi="Arial" w:cs="Arial"/>
          <w:sz w:val="18"/>
          <w:szCs w:val="18"/>
          <w:lang w:eastAsia="sk-SK"/>
        </w:rPr>
        <w:t>80</w:t>
      </w:r>
      <w:r w:rsidRPr="00925F8A">
        <w:rPr>
          <w:rFonts w:ascii="Arial" w:eastAsia="SimSun" w:hAnsi="Arial" w:cs="Arial"/>
          <w:sz w:val="18"/>
          <w:szCs w:val="18"/>
          <w:lang w:eastAsia="sk-SK"/>
        </w:rPr>
        <w:t xml:space="preserve">% from </w:t>
      </w:r>
      <w:r w:rsidR="009233F7">
        <w:rPr>
          <w:rFonts w:ascii="Arial" w:eastAsia="SimSun" w:hAnsi="Arial" w:cs="Arial"/>
          <w:sz w:val="18"/>
          <w:szCs w:val="18"/>
          <w:lang w:eastAsia="sk-SK"/>
        </w:rPr>
        <w:t>8</w:t>
      </w:r>
      <w:r w:rsidR="00450F1A">
        <w:rPr>
          <w:rFonts w:ascii="Arial" w:eastAsia="SimSun" w:hAnsi="Arial" w:cs="Arial"/>
          <w:sz w:val="18"/>
          <w:szCs w:val="18"/>
          <w:lang w:eastAsia="sk-SK"/>
        </w:rPr>
        <w:t>.</w:t>
      </w:r>
      <w:r w:rsidR="009233F7">
        <w:rPr>
          <w:rFonts w:ascii="Arial" w:eastAsia="SimSun" w:hAnsi="Arial" w:cs="Arial"/>
          <w:sz w:val="18"/>
          <w:szCs w:val="18"/>
          <w:lang w:eastAsia="sk-SK"/>
        </w:rPr>
        <w:t>06</w:t>
      </w:r>
      <w:r w:rsidRPr="00925F8A">
        <w:rPr>
          <w:rFonts w:ascii="Arial" w:eastAsia="SimSun" w:hAnsi="Arial" w:cs="Arial"/>
          <w:sz w:val="18"/>
          <w:szCs w:val="18"/>
          <w:lang w:eastAsia="sk-SK"/>
        </w:rPr>
        <w:t>% in the previous quarter.</w:t>
      </w:r>
      <w:r w:rsidR="00450F1A">
        <w:rPr>
          <w:rFonts w:ascii="Arial" w:eastAsia="SimSun" w:hAnsi="Arial" w:cs="Arial"/>
          <w:sz w:val="18"/>
          <w:szCs w:val="18"/>
          <w:lang w:eastAsia="sk-SK"/>
        </w:rPr>
        <w:t xml:space="preserve"> </w:t>
      </w:r>
      <w:r w:rsidRPr="00925F8A">
        <w:rPr>
          <w:rFonts w:ascii="Arial" w:eastAsia="SimSun" w:hAnsi="Arial" w:cs="Arial"/>
          <w:sz w:val="18"/>
          <w:szCs w:val="18"/>
          <w:lang w:eastAsia="sk-SK"/>
        </w:rPr>
        <w:t>The lowest vacancy rat</w:t>
      </w:r>
      <w:r w:rsidR="00925F8A" w:rsidRPr="00925F8A">
        <w:rPr>
          <w:rFonts w:ascii="Arial" w:eastAsia="SimSun" w:hAnsi="Arial" w:cs="Arial"/>
          <w:sz w:val="18"/>
          <w:szCs w:val="18"/>
          <w:lang w:eastAsia="sk-SK"/>
        </w:rPr>
        <w:t xml:space="preserve">es </w:t>
      </w:r>
      <w:r w:rsidR="00450F1A">
        <w:rPr>
          <w:rFonts w:ascii="Arial" w:eastAsia="SimSun" w:hAnsi="Arial" w:cs="Arial"/>
          <w:sz w:val="18"/>
          <w:szCs w:val="18"/>
          <w:lang w:eastAsia="sk-SK"/>
        </w:rPr>
        <w:t xml:space="preserve">were </w:t>
      </w:r>
      <w:r w:rsidR="00925F8A" w:rsidRPr="00925F8A">
        <w:rPr>
          <w:rFonts w:ascii="Arial" w:eastAsia="SimSun" w:hAnsi="Arial" w:cs="Arial"/>
          <w:sz w:val="18"/>
          <w:szCs w:val="18"/>
          <w:lang w:eastAsia="sk-SK"/>
        </w:rPr>
        <w:t xml:space="preserve">recorded in Bratislava </w:t>
      </w:r>
      <w:r w:rsidR="00472431">
        <w:rPr>
          <w:rFonts w:ascii="Arial" w:eastAsia="SimSun" w:hAnsi="Arial" w:cs="Arial"/>
          <w:sz w:val="18"/>
          <w:szCs w:val="18"/>
          <w:lang w:eastAsia="sk-SK"/>
        </w:rPr>
        <w:t>III</w:t>
      </w:r>
      <w:r w:rsidRPr="00925F8A">
        <w:rPr>
          <w:rFonts w:ascii="Arial" w:eastAsia="SimSun" w:hAnsi="Arial" w:cs="Arial"/>
          <w:sz w:val="18"/>
          <w:szCs w:val="18"/>
          <w:lang w:eastAsia="sk-SK"/>
        </w:rPr>
        <w:t xml:space="preserve"> (</w:t>
      </w:r>
      <w:r w:rsidR="009233F7">
        <w:rPr>
          <w:rFonts w:ascii="Arial" w:eastAsia="SimSun" w:hAnsi="Arial" w:cs="Arial"/>
          <w:sz w:val="18"/>
          <w:szCs w:val="18"/>
          <w:lang w:eastAsia="sk-SK"/>
        </w:rPr>
        <w:t>3</w:t>
      </w:r>
      <w:r w:rsidR="00BE14A3">
        <w:rPr>
          <w:rFonts w:ascii="Arial" w:eastAsia="SimSun" w:hAnsi="Arial" w:cs="Arial"/>
          <w:sz w:val="18"/>
          <w:szCs w:val="18"/>
          <w:lang w:eastAsia="sk-SK"/>
        </w:rPr>
        <w:t>.</w:t>
      </w:r>
      <w:r w:rsidR="009233F7">
        <w:rPr>
          <w:rFonts w:ascii="Arial" w:eastAsia="SimSun" w:hAnsi="Arial" w:cs="Arial"/>
          <w:sz w:val="18"/>
          <w:szCs w:val="18"/>
          <w:lang w:eastAsia="sk-SK"/>
        </w:rPr>
        <w:t>69</w:t>
      </w:r>
      <w:r w:rsidR="007E2CCD">
        <w:rPr>
          <w:rFonts w:ascii="Arial" w:eastAsia="SimSun" w:hAnsi="Arial" w:cs="Arial"/>
          <w:sz w:val="18"/>
          <w:szCs w:val="18"/>
          <w:lang w:eastAsia="sk-SK"/>
        </w:rPr>
        <w:t>%</w:t>
      </w:r>
      <w:r w:rsidRPr="00925F8A">
        <w:rPr>
          <w:rFonts w:ascii="Arial" w:eastAsia="SimSun" w:hAnsi="Arial" w:cs="Arial"/>
          <w:sz w:val="18"/>
          <w:szCs w:val="18"/>
          <w:lang w:eastAsia="sk-SK"/>
        </w:rPr>
        <w:t xml:space="preserve">), followed by Bratislava </w:t>
      </w:r>
      <w:r w:rsidR="007E2CCD">
        <w:rPr>
          <w:rFonts w:ascii="Arial" w:eastAsia="SimSun" w:hAnsi="Arial" w:cs="Arial"/>
          <w:sz w:val="18"/>
          <w:szCs w:val="18"/>
          <w:lang w:eastAsia="sk-SK"/>
        </w:rPr>
        <w:t>I</w:t>
      </w:r>
      <w:r w:rsidR="00AE4D81">
        <w:rPr>
          <w:rFonts w:ascii="Arial" w:eastAsia="SimSun" w:hAnsi="Arial" w:cs="Arial"/>
          <w:sz w:val="18"/>
          <w:szCs w:val="18"/>
          <w:lang w:eastAsia="sk-SK"/>
        </w:rPr>
        <w:t xml:space="preserve"> (</w:t>
      </w:r>
      <w:r w:rsidR="009233F7">
        <w:rPr>
          <w:rFonts w:ascii="Arial" w:eastAsia="SimSun" w:hAnsi="Arial" w:cs="Arial"/>
          <w:sz w:val="18"/>
          <w:szCs w:val="18"/>
          <w:lang w:eastAsia="sk-SK"/>
        </w:rPr>
        <w:t>6</w:t>
      </w:r>
      <w:r w:rsidR="00450F1A">
        <w:rPr>
          <w:rFonts w:ascii="Arial" w:eastAsia="SimSun" w:hAnsi="Arial" w:cs="Arial"/>
          <w:sz w:val="18"/>
          <w:szCs w:val="18"/>
          <w:lang w:eastAsia="sk-SK"/>
        </w:rPr>
        <w:t>.</w:t>
      </w:r>
      <w:r w:rsidR="009233F7">
        <w:rPr>
          <w:rFonts w:ascii="Arial" w:eastAsia="SimSun" w:hAnsi="Arial" w:cs="Arial"/>
          <w:sz w:val="18"/>
          <w:szCs w:val="18"/>
          <w:lang w:eastAsia="sk-SK"/>
        </w:rPr>
        <w:t>04</w:t>
      </w:r>
      <w:r w:rsidRPr="00925F8A">
        <w:rPr>
          <w:rFonts w:ascii="Arial" w:eastAsia="SimSun" w:hAnsi="Arial" w:cs="Arial"/>
          <w:sz w:val="18"/>
          <w:szCs w:val="18"/>
          <w:lang w:eastAsia="sk-SK"/>
        </w:rPr>
        <w:t>%)</w:t>
      </w:r>
      <w:r w:rsidR="00FD393D" w:rsidRPr="00925F8A">
        <w:rPr>
          <w:rFonts w:ascii="Arial" w:eastAsia="SimSun" w:hAnsi="Arial" w:cs="Arial"/>
          <w:sz w:val="18"/>
          <w:szCs w:val="18"/>
          <w:lang w:eastAsia="sk-SK"/>
        </w:rPr>
        <w:t xml:space="preserve">, Bratislava </w:t>
      </w:r>
      <w:r w:rsidR="00472431">
        <w:rPr>
          <w:rFonts w:ascii="Arial" w:eastAsia="SimSun" w:hAnsi="Arial" w:cs="Arial"/>
          <w:sz w:val="18"/>
          <w:szCs w:val="18"/>
          <w:lang w:eastAsia="sk-SK"/>
        </w:rPr>
        <w:t>I</w:t>
      </w:r>
      <w:r w:rsidR="00903DB2">
        <w:rPr>
          <w:rFonts w:ascii="Arial" w:eastAsia="SimSun" w:hAnsi="Arial" w:cs="Arial"/>
          <w:sz w:val="18"/>
          <w:szCs w:val="18"/>
          <w:lang w:eastAsia="sk-SK"/>
        </w:rPr>
        <w:t>I (</w:t>
      </w:r>
      <w:r w:rsidR="009B52EA">
        <w:rPr>
          <w:rFonts w:ascii="Arial" w:eastAsia="SimSun" w:hAnsi="Arial" w:cs="Arial"/>
          <w:sz w:val="18"/>
          <w:szCs w:val="18"/>
          <w:lang w:eastAsia="sk-SK"/>
        </w:rPr>
        <w:t>9</w:t>
      </w:r>
      <w:r w:rsidR="00450F1A">
        <w:rPr>
          <w:rFonts w:ascii="Arial" w:eastAsia="SimSun" w:hAnsi="Arial" w:cs="Arial"/>
          <w:sz w:val="18"/>
          <w:szCs w:val="18"/>
          <w:lang w:eastAsia="sk-SK"/>
        </w:rPr>
        <w:t>.</w:t>
      </w:r>
      <w:r w:rsidR="009233F7">
        <w:rPr>
          <w:rFonts w:ascii="Arial" w:eastAsia="SimSun" w:hAnsi="Arial" w:cs="Arial"/>
          <w:sz w:val="18"/>
          <w:szCs w:val="18"/>
          <w:lang w:eastAsia="sk-SK"/>
        </w:rPr>
        <w:t>12</w:t>
      </w:r>
      <w:r w:rsidR="00FD393D" w:rsidRPr="00925F8A">
        <w:rPr>
          <w:rFonts w:ascii="Arial" w:eastAsia="SimSun" w:hAnsi="Arial" w:cs="Arial"/>
          <w:sz w:val="18"/>
          <w:szCs w:val="18"/>
          <w:lang w:eastAsia="sk-SK"/>
        </w:rPr>
        <w:t xml:space="preserve">%) and Bratislava </w:t>
      </w:r>
      <w:r w:rsidR="00BE14A3">
        <w:rPr>
          <w:rFonts w:ascii="Arial" w:eastAsia="SimSun" w:hAnsi="Arial" w:cs="Arial"/>
          <w:sz w:val="18"/>
          <w:szCs w:val="18"/>
          <w:lang w:eastAsia="sk-SK"/>
        </w:rPr>
        <w:t>V</w:t>
      </w:r>
      <w:r w:rsidR="00925F8A" w:rsidRPr="00925F8A">
        <w:rPr>
          <w:rFonts w:ascii="Arial" w:eastAsia="SimSun" w:hAnsi="Arial" w:cs="Arial"/>
          <w:sz w:val="18"/>
          <w:szCs w:val="18"/>
          <w:lang w:eastAsia="sk-SK"/>
        </w:rPr>
        <w:t xml:space="preserve"> (</w:t>
      </w:r>
      <w:r w:rsidR="009233F7">
        <w:rPr>
          <w:rFonts w:ascii="Arial" w:eastAsia="SimSun" w:hAnsi="Arial" w:cs="Arial"/>
          <w:sz w:val="18"/>
          <w:szCs w:val="18"/>
          <w:lang w:eastAsia="sk-SK"/>
        </w:rPr>
        <w:t>9</w:t>
      </w:r>
      <w:r w:rsidR="00450F1A">
        <w:rPr>
          <w:rFonts w:ascii="Arial" w:eastAsia="SimSun" w:hAnsi="Arial" w:cs="Arial"/>
          <w:sz w:val="18"/>
          <w:szCs w:val="18"/>
          <w:lang w:eastAsia="sk-SK"/>
        </w:rPr>
        <w:t>.</w:t>
      </w:r>
      <w:r w:rsidR="009B52EA">
        <w:rPr>
          <w:rFonts w:ascii="Arial" w:eastAsia="SimSun" w:hAnsi="Arial" w:cs="Arial"/>
          <w:sz w:val="18"/>
          <w:szCs w:val="18"/>
          <w:lang w:eastAsia="sk-SK"/>
        </w:rPr>
        <w:t>3</w:t>
      </w:r>
      <w:r w:rsidR="009233F7">
        <w:rPr>
          <w:rFonts w:ascii="Arial" w:eastAsia="SimSun" w:hAnsi="Arial" w:cs="Arial"/>
          <w:sz w:val="18"/>
          <w:szCs w:val="18"/>
          <w:lang w:eastAsia="sk-SK"/>
        </w:rPr>
        <w:t>3</w:t>
      </w:r>
      <w:r w:rsidR="00FD393D" w:rsidRPr="00925F8A">
        <w:rPr>
          <w:rFonts w:ascii="Arial" w:eastAsia="SimSun" w:hAnsi="Arial" w:cs="Arial"/>
          <w:sz w:val="18"/>
          <w:szCs w:val="18"/>
          <w:lang w:eastAsia="sk-SK"/>
        </w:rPr>
        <w:t>%)</w:t>
      </w:r>
      <w:r w:rsidRPr="00925F8A">
        <w:rPr>
          <w:rFonts w:ascii="Arial" w:eastAsia="SimSun" w:hAnsi="Arial" w:cs="Arial"/>
          <w:sz w:val="18"/>
          <w:szCs w:val="18"/>
          <w:lang w:eastAsia="sk-SK"/>
        </w:rPr>
        <w:t>. The highest vacancy ra</w:t>
      </w:r>
      <w:r w:rsidR="00BE14A3">
        <w:rPr>
          <w:rFonts w:ascii="Arial" w:eastAsia="SimSun" w:hAnsi="Arial" w:cs="Arial"/>
          <w:sz w:val="18"/>
          <w:szCs w:val="18"/>
          <w:lang w:eastAsia="sk-SK"/>
        </w:rPr>
        <w:t>te was recorded in Bratislava I</w:t>
      </w:r>
      <w:r w:rsidR="00472431">
        <w:rPr>
          <w:rFonts w:ascii="Arial" w:eastAsia="SimSun" w:hAnsi="Arial" w:cs="Arial"/>
          <w:sz w:val="18"/>
          <w:szCs w:val="18"/>
          <w:lang w:eastAsia="sk-SK"/>
        </w:rPr>
        <w:t>V</w:t>
      </w:r>
      <w:r w:rsidR="00450F1A">
        <w:rPr>
          <w:rFonts w:ascii="Arial" w:eastAsia="SimSun" w:hAnsi="Arial" w:cs="Arial"/>
          <w:sz w:val="18"/>
          <w:szCs w:val="18"/>
          <w:lang w:eastAsia="sk-SK"/>
        </w:rPr>
        <w:t xml:space="preserve">, in the level of </w:t>
      </w:r>
      <w:r w:rsidR="009233F7">
        <w:rPr>
          <w:rFonts w:ascii="Arial" w:eastAsia="SimSun" w:hAnsi="Arial" w:cs="Arial"/>
          <w:sz w:val="18"/>
          <w:szCs w:val="18"/>
          <w:lang w:eastAsia="sk-SK"/>
        </w:rPr>
        <w:t>30</w:t>
      </w:r>
      <w:r w:rsidR="00450F1A">
        <w:rPr>
          <w:rFonts w:ascii="Arial" w:eastAsia="SimSun" w:hAnsi="Arial" w:cs="Arial"/>
          <w:sz w:val="18"/>
          <w:szCs w:val="18"/>
          <w:lang w:eastAsia="sk-SK"/>
        </w:rPr>
        <w:t>.</w:t>
      </w:r>
      <w:r w:rsidR="009233F7">
        <w:rPr>
          <w:rFonts w:ascii="Arial" w:eastAsia="SimSun" w:hAnsi="Arial" w:cs="Arial"/>
          <w:sz w:val="18"/>
          <w:szCs w:val="18"/>
          <w:lang w:eastAsia="sk-SK"/>
        </w:rPr>
        <w:t>93</w:t>
      </w:r>
      <w:r w:rsidRPr="00925F8A">
        <w:rPr>
          <w:rFonts w:ascii="Arial" w:eastAsia="SimSun" w:hAnsi="Arial" w:cs="Arial"/>
          <w:sz w:val="18"/>
          <w:szCs w:val="18"/>
          <w:lang w:eastAsia="sk-SK"/>
        </w:rPr>
        <w:t>%.</w:t>
      </w:r>
    </w:p>
    <w:p w14:paraId="5F5D52A4" w14:textId="1A383A58" w:rsidR="00925F8A" w:rsidRDefault="00925F8A" w:rsidP="006A4F3A">
      <w:pPr>
        <w:autoSpaceDE w:val="0"/>
        <w:autoSpaceDN w:val="0"/>
        <w:adjustRightInd w:val="0"/>
        <w:jc w:val="both"/>
        <w:rPr>
          <w:rFonts w:ascii="Arial" w:eastAsia="SimSun" w:hAnsi="Arial" w:cs="Arial"/>
          <w:sz w:val="18"/>
          <w:szCs w:val="18"/>
          <w:lang w:eastAsia="sk-SK"/>
        </w:rPr>
      </w:pPr>
    </w:p>
    <w:p w14:paraId="7A22F07F" w14:textId="297130A0" w:rsidR="00925F8A" w:rsidRDefault="00925F8A" w:rsidP="006A4F3A">
      <w:pPr>
        <w:autoSpaceDE w:val="0"/>
        <w:autoSpaceDN w:val="0"/>
        <w:adjustRightInd w:val="0"/>
        <w:jc w:val="both"/>
        <w:rPr>
          <w:rFonts w:ascii="Arial" w:eastAsia="SimSun" w:hAnsi="Arial" w:cs="Arial"/>
          <w:sz w:val="18"/>
          <w:szCs w:val="18"/>
          <w:lang w:eastAsia="sk-SK"/>
        </w:rPr>
      </w:pPr>
    </w:p>
    <w:p w14:paraId="76632098" w14:textId="74ADD792" w:rsidR="00925F8A" w:rsidRPr="00925F8A" w:rsidRDefault="00925F8A" w:rsidP="006A4F3A">
      <w:pPr>
        <w:autoSpaceDE w:val="0"/>
        <w:autoSpaceDN w:val="0"/>
        <w:adjustRightInd w:val="0"/>
        <w:jc w:val="both"/>
        <w:rPr>
          <w:rFonts w:ascii="Arial" w:eastAsia="SimSun" w:hAnsi="Arial" w:cs="Arial"/>
          <w:b/>
          <w:sz w:val="18"/>
          <w:szCs w:val="18"/>
          <w:lang w:eastAsia="sk-SK"/>
        </w:rPr>
      </w:pPr>
      <w:r w:rsidRPr="00925F8A">
        <w:rPr>
          <w:rFonts w:ascii="Arial" w:eastAsia="SimSun" w:hAnsi="Arial" w:cs="Arial"/>
          <w:b/>
          <w:sz w:val="18"/>
          <w:szCs w:val="18"/>
          <w:lang w:eastAsia="sk-SK"/>
        </w:rPr>
        <w:t>Prime Rent</w:t>
      </w:r>
    </w:p>
    <w:p w14:paraId="4C33EA2F" w14:textId="7EABE782" w:rsidR="00925F8A" w:rsidRDefault="00925F8A" w:rsidP="006A4F3A">
      <w:pPr>
        <w:autoSpaceDE w:val="0"/>
        <w:autoSpaceDN w:val="0"/>
        <w:adjustRightInd w:val="0"/>
        <w:jc w:val="both"/>
        <w:rPr>
          <w:rFonts w:ascii="Arial" w:eastAsia="SimSun" w:hAnsi="Arial" w:cs="Arial"/>
          <w:sz w:val="18"/>
          <w:szCs w:val="18"/>
          <w:lang w:eastAsia="sk-SK"/>
        </w:rPr>
      </w:pPr>
    </w:p>
    <w:p w14:paraId="23DD6FA6" w14:textId="3BC617D5" w:rsidR="00925F8A" w:rsidRPr="0078688C" w:rsidRDefault="00925F8A" w:rsidP="006A4F3A">
      <w:pPr>
        <w:autoSpaceDE w:val="0"/>
        <w:autoSpaceDN w:val="0"/>
        <w:adjustRightInd w:val="0"/>
        <w:jc w:val="both"/>
        <w:rPr>
          <w:rFonts w:ascii="Arial" w:eastAsia="SimSun" w:hAnsi="Arial" w:cs="Arial"/>
          <w:sz w:val="18"/>
          <w:szCs w:val="18"/>
          <w:lang w:eastAsia="sk-SK"/>
        </w:rPr>
      </w:pPr>
      <w:r>
        <w:rPr>
          <w:rFonts w:ascii="Arial" w:eastAsia="SimSun" w:hAnsi="Arial" w:cs="Arial"/>
          <w:sz w:val="18"/>
          <w:szCs w:val="18"/>
          <w:lang w:eastAsia="sk-SK"/>
        </w:rPr>
        <w:t xml:space="preserve">The Prime Rent </w:t>
      </w:r>
      <w:r w:rsidR="007E2CCD">
        <w:rPr>
          <w:rFonts w:ascii="Arial" w:eastAsia="SimSun" w:hAnsi="Arial" w:cs="Arial"/>
          <w:sz w:val="18"/>
          <w:szCs w:val="18"/>
          <w:lang w:eastAsia="sk-SK"/>
        </w:rPr>
        <w:t>remained unchanged at</w:t>
      </w:r>
      <w:r>
        <w:rPr>
          <w:rFonts w:ascii="Arial" w:eastAsia="SimSun" w:hAnsi="Arial" w:cs="Arial"/>
          <w:sz w:val="18"/>
          <w:szCs w:val="18"/>
          <w:lang w:eastAsia="sk-SK"/>
        </w:rPr>
        <w:t xml:space="preserve"> 17.00 EUR/</w:t>
      </w:r>
      <w:proofErr w:type="spellStart"/>
      <w:r>
        <w:rPr>
          <w:rFonts w:ascii="Arial" w:eastAsia="SimSun" w:hAnsi="Arial" w:cs="Arial"/>
          <w:sz w:val="18"/>
          <w:szCs w:val="18"/>
          <w:lang w:eastAsia="sk-SK"/>
        </w:rPr>
        <w:t>sq</w:t>
      </w:r>
      <w:proofErr w:type="spellEnd"/>
      <w:r>
        <w:rPr>
          <w:rFonts w:ascii="Arial" w:eastAsia="SimSun" w:hAnsi="Arial" w:cs="Arial"/>
          <w:sz w:val="18"/>
          <w:szCs w:val="18"/>
          <w:lang w:eastAsia="sk-SK"/>
        </w:rPr>
        <w:t xml:space="preserve"> m/month</w:t>
      </w:r>
      <w:r w:rsidRPr="00925F8A">
        <w:rPr>
          <w:rFonts w:ascii="Arial" w:eastAsia="SimSun" w:hAnsi="Arial" w:cs="Arial"/>
          <w:sz w:val="18"/>
          <w:szCs w:val="18"/>
          <w:lang w:eastAsia="sk-SK"/>
        </w:rPr>
        <w:t>.</w:t>
      </w:r>
    </w:p>
    <w:p w14:paraId="4978FE64" w14:textId="77777777" w:rsidR="006A4F3A" w:rsidRDefault="006A4F3A" w:rsidP="007733FB">
      <w:pPr>
        <w:rPr>
          <w:rFonts w:ascii="Arial" w:hAnsi="Arial" w:cs="Arial"/>
          <w:bCs/>
          <w:sz w:val="18"/>
          <w:szCs w:val="18"/>
          <w:lang w:val="sk-SK"/>
        </w:rPr>
      </w:pPr>
    </w:p>
    <w:p w14:paraId="23005282" w14:textId="77777777" w:rsidR="001A4A53" w:rsidRPr="005D218F" w:rsidRDefault="001A4A53" w:rsidP="007733FB">
      <w:pPr>
        <w:rPr>
          <w:rFonts w:ascii="Arial" w:hAnsi="Arial" w:cs="Arial"/>
          <w:bCs/>
          <w:sz w:val="18"/>
          <w:szCs w:val="18"/>
          <w:lang w:val="sk-SK"/>
        </w:rPr>
      </w:pPr>
    </w:p>
    <w:p w14:paraId="5E69FC26" w14:textId="77777777" w:rsidR="001A4A53" w:rsidRDefault="001A4A53" w:rsidP="007733FB">
      <w:pPr>
        <w:rPr>
          <w:rFonts w:ascii="Arial" w:hAnsi="Arial" w:cs="Arial"/>
          <w:bCs/>
          <w:sz w:val="18"/>
          <w:szCs w:val="18"/>
          <w:lang w:val="sk-SK"/>
        </w:rPr>
      </w:pPr>
    </w:p>
    <w:p w14:paraId="05631A80" w14:textId="462F1AA2" w:rsidR="00765FE3" w:rsidRDefault="00765FE3" w:rsidP="007733FB">
      <w:pPr>
        <w:rPr>
          <w:rFonts w:ascii="Arial" w:hAnsi="Arial" w:cs="Arial"/>
          <w:b/>
          <w:bCs/>
          <w:lang w:val="sk-SK"/>
        </w:rPr>
      </w:pPr>
    </w:p>
    <w:p w14:paraId="181D8761" w14:textId="6825246F" w:rsidR="00F90D59" w:rsidRDefault="00F90D59" w:rsidP="007733FB">
      <w:pPr>
        <w:rPr>
          <w:rFonts w:ascii="Arial" w:hAnsi="Arial" w:cs="Arial"/>
          <w:bCs/>
          <w:sz w:val="18"/>
          <w:szCs w:val="18"/>
          <w:lang w:val="sk-SK"/>
        </w:rPr>
      </w:pPr>
    </w:p>
    <w:p w14:paraId="73F3B7B9" w14:textId="77777777" w:rsidR="009233F7" w:rsidRDefault="009233F7" w:rsidP="007733FB">
      <w:pPr>
        <w:rPr>
          <w:rFonts w:ascii="Arial" w:hAnsi="Arial" w:cs="Arial"/>
          <w:bCs/>
          <w:sz w:val="18"/>
          <w:szCs w:val="18"/>
          <w:lang w:val="sk-SK"/>
        </w:rPr>
      </w:pPr>
    </w:p>
    <w:p w14:paraId="45FC5A92" w14:textId="77777777" w:rsidR="00765FE3" w:rsidRDefault="00765FE3" w:rsidP="007733FB">
      <w:pPr>
        <w:rPr>
          <w:rFonts w:ascii="Arial" w:hAnsi="Arial" w:cs="Arial"/>
          <w:bCs/>
          <w:sz w:val="18"/>
          <w:szCs w:val="18"/>
          <w:lang w:val="sk-SK"/>
        </w:rPr>
      </w:pPr>
    </w:p>
    <w:p w14:paraId="7D2B641C" w14:textId="77777777" w:rsidR="00765FE3" w:rsidRDefault="00765FE3" w:rsidP="007733FB">
      <w:pPr>
        <w:rPr>
          <w:rFonts w:ascii="Arial" w:hAnsi="Arial" w:cs="Arial"/>
          <w:bCs/>
          <w:sz w:val="18"/>
          <w:szCs w:val="18"/>
          <w:lang w:val="sk-SK"/>
        </w:rPr>
      </w:pPr>
    </w:p>
    <w:p w14:paraId="04AC748C" w14:textId="77777777" w:rsidR="00765FE3" w:rsidRDefault="00765FE3" w:rsidP="007733FB">
      <w:pPr>
        <w:rPr>
          <w:rFonts w:ascii="Arial" w:hAnsi="Arial" w:cs="Arial"/>
          <w:bCs/>
          <w:sz w:val="18"/>
          <w:szCs w:val="18"/>
          <w:lang w:val="sk-SK"/>
        </w:rPr>
      </w:pPr>
    </w:p>
    <w:p w14:paraId="66FFC166" w14:textId="77777777" w:rsidR="00765FE3" w:rsidRDefault="00765FE3" w:rsidP="007733FB">
      <w:pPr>
        <w:rPr>
          <w:rFonts w:ascii="Arial" w:hAnsi="Arial" w:cs="Arial"/>
          <w:bCs/>
          <w:sz w:val="18"/>
          <w:szCs w:val="18"/>
          <w:lang w:val="sk-SK"/>
        </w:rPr>
      </w:pPr>
    </w:p>
    <w:p w14:paraId="7CAB5C23" w14:textId="77777777" w:rsidR="00765FE3" w:rsidRDefault="00765FE3" w:rsidP="007733FB">
      <w:pPr>
        <w:rPr>
          <w:rFonts w:ascii="Arial" w:hAnsi="Arial" w:cs="Arial"/>
          <w:bCs/>
          <w:sz w:val="18"/>
          <w:szCs w:val="18"/>
          <w:lang w:val="sk-SK"/>
        </w:rPr>
      </w:pPr>
    </w:p>
    <w:p w14:paraId="54FAB51B" w14:textId="77777777" w:rsidR="00765FE3" w:rsidRDefault="00765FE3" w:rsidP="007733FB">
      <w:pPr>
        <w:rPr>
          <w:rFonts w:ascii="Arial" w:hAnsi="Arial" w:cs="Arial"/>
          <w:bCs/>
          <w:sz w:val="18"/>
          <w:szCs w:val="18"/>
          <w:lang w:val="sk-SK"/>
        </w:rPr>
      </w:pPr>
    </w:p>
    <w:p w14:paraId="3102B988" w14:textId="77777777" w:rsidR="00765FE3" w:rsidRDefault="00765FE3" w:rsidP="007733FB">
      <w:pPr>
        <w:rPr>
          <w:rFonts w:ascii="Arial" w:hAnsi="Arial" w:cs="Arial"/>
          <w:bCs/>
          <w:sz w:val="18"/>
          <w:szCs w:val="18"/>
          <w:lang w:val="sk-SK"/>
        </w:rPr>
      </w:pPr>
    </w:p>
    <w:p w14:paraId="50945F63" w14:textId="77777777" w:rsidR="00765FE3" w:rsidRDefault="00765FE3" w:rsidP="007733FB">
      <w:pPr>
        <w:rPr>
          <w:rFonts w:ascii="Arial" w:hAnsi="Arial" w:cs="Arial"/>
          <w:bCs/>
          <w:sz w:val="18"/>
          <w:szCs w:val="18"/>
          <w:lang w:val="sk-SK"/>
        </w:rPr>
      </w:pPr>
    </w:p>
    <w:p w14:paraId="671C2FA8" w14:textId="77777777" w:rsidR="00765FE3" w:rsidRDefault="00765FE3" w:rsidP="007733FB">
      <w:pPr>
        <w:rPr>
          <w:rFonts w:ascii="Arial" w:hAnsi="Arial" w:cs="Arial"/>
          <w:bCs/>
          <w:sz w:val="18"/>
          <w:szCs w:val="18"/>
          <w:lang w:val="sk-SK"/>
        </w:rPr>
      </w:pPr>
    </w:p>
    <w:p w14:paraId="3F5D1FF1" w14:textId="77777777" w:rsidR="00765FE3" w:rsidRDefault="00765FE3" w:rsidP="007733FB">
      <w:pPr>
        <w:rPr>
          <w:rFonts w:ascii="Arial" w:hAnsi="Arial" w:cs="Arial"/>
          <w:bCs/>
          <w:sz w:val="18"/>
          <w:szCs w:val="18"/>
          <w:lang w:val="sk-SK"/>
        </w:rPr>
      </w:pPr>
    </w:p>
    <w:p w14:paraId="729F2735" w14:textId="6CF6C0A7" w:rsidR="00765FE3" w:rsidRDefault="00765FE3" w:rsidP="007733FB">
      <w:pPr>
        <w:rPr>
          <w:rFonts w:ascii="Arial" w:hAnsi="Arial" w:cs="Arial"/>
          <w:bCs/>
          <w:sz w:val="18"/>
          <w:szCs w:val="18"/>
          <w:lang w:val="sk-SK"/>
        </w:rPr>
      </w:pPr>
    </w:p>
    <w:p w14:paraId="5149B616" w14:textId="7949926C" w:rsidR="00D63D3E" w:rsidRDefault="00D63D3E" w:rsidP="007733FB">
      <w:pPr>
        <w:rPr>
          <w:rFonts w:ascii="Arial" w:hAnsi="Arial" w:cs="Arial"/>
          <w:bCs/>
          <w:sz w:val="18"/>
          <w:szCs w:val="18"/>
          <w:lang w:val="sk-SK"/>
        </w:rPr>
      </w:pPr>
    </w:p>
    <w:p w14:paraId="1683414F" w14:textId="21EF6504" w:rsidR="00D63D3E" w:rsidRDefault="00D63D3E" w:rsidP="007733FB">
      <w:pPr>
        <w:rPr>
          <w:rFonts w:ascii="Arial" w:hAnsi="Arial" w:cs="Arial"/>
          <w:bCs/>
          <w:sz w:val="18"/>
          <w:szCs w:val="18"/>
          <w:lang w:val="sk-SK"/>
        </w:rPr>
      </w:pPr>
    </w:p>
    <w:p w14:paraId="7803129B" w14:textId="28EDC171" w:rsidR="00AE4D81" w:rsidRDefault="00AE4D81" w:rsidP="007733FB">
      <w:pPr>
        <w:rPr>
          <w:rFonts w:ascii="Arial" w:hAnsi="Arial" w:cs="Arial"/>
          <w:bCs/>
          <w:sz w:val="18"/>
          <w:szCs w:val="18"/>
          <w:lang w:val="sk-SK"/>
        </w:rPr>
      </w:pPr>
    </w:p>
    <w:p w14:paraId="4422CCB7" w14:textId="061458F5" w:rsidR="00AE4D81" w:rsidRDefault="00AE4D81" w:rsidP="007733FB">
      <w:pPr>
        <w:rPr>
          <w:rFonts w:ascii="Arial" w:hAnsi="Arial" w:cs="Arial"/>
          <w:bCs/>
          <w:sz w:val="18"/>
          <w:szCs w:val="18"/>
          <w:lang w:val="sk-SK"/>
        </w:rPr>
      </w:pPr>
    </w:p>
    <w:p w14:paraId="55A565A0" w14:textId="453894EC" w:rsidR="00AE4D81" w:rsidRDefault="00AE4D81" w:rsidP="007733FB">
      <w:pPr>
        <w:rPr>
          <w:rFonts w:ascii="Arial" w:hAnsi="Arial" w:cs="Arial"/>
          <w:bCs/>
          <w:sz w:val="18"/>
          <w:szCs w:val="18"/>
          <w:lang w:val="sk-SK"/>
        </w:rPr>
      </w:pPr>
    </w:p>
    <w:p w14:paraId="26B60DDC" w14:textId="77777777" w:rsidR="00AE4D81" w:rsidRDefault="00AE4D81" w:rsidP="007733FB">
      <w:pPr>
        <w:rPr>
          <w:rFonts w:ascii="Arial" w:hAnsi="Arial" w:cs="Arial"/>
          <w:bCs/>
          <w:sz w:val="18"/>
          <w:szCs w:val="18"/>
          <w:lang w:val="sk-SK"/>
        </w:rPr>
      </w:pPr>
    </w:p>
    <w:p w14:paraId="29B5C455" w14:textId="3D39C014" w:rsidR="00D63D3E" w:rsidRDefault="00D63D3E" w:rsidP="007733FB">
      <w:pPr>
        <w:rPr>
          <w:rFonts w:ascii="Arial" w:hAnsi="Arial" w:cs="Arial"/>
          <w:bCs/>
          <w:sz w:val="18"/>
          <w:szCs w:val="18"/>
          <w:lang w:val="sk-SK"/>
        </w:rPr>
      </w:pPr>
    </w:p>
    <w:p w14:paraId="6B8A98E1" w14:textId="2DF96931" w:rsidR="00D63D3E" w:rsidRDefault="00D63D3E" w:rsidP="007733FB">
      <w:pPr>
        <w:rPr>
          <w:rFonts w:ascii="Arial" w:hAnsi="Arial" w:cs="Arial"/>
          <w:bCs/>
          <w:sz w:val="18"/>
          <w:szCs w:val="18"/>
          <w:lang w:val="sk-SK"/>
        </w:rPr>
      </w:pPr>
    </w:p>
    <w:p w14:paraId="544554EA" w14:textId="02D7863B" w:rsidR="009233F7" w:rsidRDefault="009233F7" w:rsidP="007733FB">
      <w:pPr>
        <w:rPr>
          <w:rFonts w:ascii="Arial" w:hAnsi="Arial" w:cs="Arial"/>
          <w:bCs/>
          <w:sz w:val="18"/>
          <w:szCs w:val="18"/>
          <w:lang w:val="sk-SK"/>
        </w:rPr>
      </w:pPr>
    </w:p>
    <w:p w14:paraId="21452428" w14:textId="7488D824" w:rsidR="009233F7" w:rsidRDefault="009233F7" w:rsidP="007733FB">
      <w:pPr>
        <w:rPr>
          <w:rFonts w:ascii="Arial" w:hAnsi="Arial" w:cs="Arial"/>
          <w:bCs/>
          <w:sz w:val="18"/>
          <w:szCs w:val="18"/>
          <w:lang w:val="sk-SK"/>
        </w:rPr>
      </w:pPr>
    </w:p>
    <w:p w14:paraId="40D8C41B" w14:textId="77777777" w:rsidR="009233F7" w:rsidRDefault="009233F7" w:rsidP="007733FB">
      <w:pPr>
        <w:rPr>
          <w:rFonts w:ascii="Arial" w:hAnsi="Arial" w:cs="Arial"/>
          <w:bCs/>
          <w:sz w:val="18"/>
          <w:szCs w:val="18"/>
          <w:lang w:val="sk-SK"/>
        </w:rPr>
      </w:pPr>
    </w:p>
    <w:p w14:paraId="1001747B" w14:textId="22DE4064" w:rsidR="00D63D3E" w:rsidRDefault="00D63D3E" w:rsidP="007733FB">
      <w:pPr>
        <w:rPr>
          <w:rFonts w:ascii="Arial" w:hAnsi="Arial" w:cs="Arial"/>
          <w:bCs/>
          <w:sz w:val="18"/>
          <w:szCs w:val="18"/>
          <w:lang w:val="sk-SK"/>
        </w:rPr>
      </w:pPr>
    </w:p>
    <w:p w14:paraId="43590E86" w14:textId="4A8F0E7C" w:rsidR="00D63D3E" w:rsidRDefault="00D63D3E" w:rsidP="007733FB">
      <w:pPr>
        <w:rPr>
          <w:rFonts w:ascii="Arial" w:hAnsi="Arial" w:cs="Arial"/>
          <w:bCs/>
          <w:sz w:val="18"/>
          <w:szCs w:val="18"/>
          <w:lang w:val="sk-SK"/>
        </w:rPr>
      </w:pPr>
    </w:p>
    <w:p w14:paraId="6D2B82C9" w14:textId="7858E6D6" w:rsidR="00D63D3E" w:rsidRDefault="00D63D3E" w:rsidP="007733FB">
      <w:pPr>
        <w:rPr>
          <w:rFonts w:ascii="Arial" w:hAnsi="Arial" w:cs="Arial"/>
          <w:bCs/>
          <w:sz w:val="18"/>
          <w:szCs w:val="18"/>
          <w:lang w:val="sk-SK"/>
        </w:rPr>
      </w:pPr>
    </w:p>
    <w:p w14:paraId="059C8D84" w14:textId="1782B063" w:rsidR="00C34793" w:rsidRDefault="00C34793" w:rsidP="007733FB">
      <w:pPr>
        <w:rPr>
          <w:rFonts w:ascii="Arial" w:hAnsi="Arial" w:cs="Arial"/>
          <w:bCs/>
          <w:sz w:val="18"/>
          <w:szCs w:val="18"/>
          <w:lang w:val="sk-SK"/>
        </w:rPr>
      </w:pPr>
    </w:p>
    <w:p w14:paraId="0BB59278" w14:textId="4FC0CA87" w:rsidR="00A52ADF" w:rsidRDefault="00A52ADF" w:rsidP="007733FB">
      <w:pPr>
        <w:rPr>
          <w:rFonts w:ascii="Arial" w:hAnsi="Arial" w:cs="Arial"/>
          <w:bCs/>
          <w:sz w:val="18"/>
          <w:szCs w:val="18"/>
          <w:lang w:val="sk-SK"/>
        </w:rPr>
      </w:pPr>
    </w:p>
    <w:p w14:paraId="32267B14" w14:textId="094C8689" w:rsidR="00A52ADF" w:rsidRDefault="00A52ADF" w:rsidP="007733FB">
      <w:pPr>
        <w:rPr>
          <w:rFonts w:ascii="Arial" w:hAnsi="Arial" w:cs="Arial"/>
          <w:bCs/>
          <w:sz w:val="18"/>
          <w:szCs w:val="18"/>
          <w:lang w:val="sk-SK"/>
        </w:rPr>
      </w:pPr>
    </w:p>
    <w:p w14:paraId="57D1E832" w14:textId="77777777" w:rsidR="00A52ADF" w:rsidRDefault="00A52ADF" w:rsidP="007733FB">
      <w:pPr>
        <w:rPr>
          <w:rFonts w:ascii="Arial" w:hAnsi="Arial" w:cs="Arial"/>
          <w:bCs/>
          <w:sz w:val="18"/>
          <w:szCs w:val="18"/>
          <w:lang w:val="sk-SK"/>
        </w:rPr>
      </w:pPr>
    </w:p>
    <w:p w14:paraId="77CAEAA5" w14:textId="74959E4A" w:rsidR="00C34793" w:rsidRDefault="00C34793" w:rsidP="007733FB">
      <w:pPr>
        <w:rPr>
          <w:rFonts w:ascii="Arial" w:hAnsi="Arial" w:cs="Arial"/>
          <w:bCs/>
          <w:sz w:val="18"/>
          <w:szCs w:val="18"/>
          <w:lang w:val="sk-SK"/>
        </w:rPr>
      </w:pPr>
    </w:p>
    <w:p w14:paraId="2AE68507" w14:textId="688A3907" w:rsidR="009233F7" w:rsidRDefault="009233F7" w:rsidP="007733FB">
      <w:pPr>
        <w:rPr>
          <w:rFonts w:ascii="Arial" w:hAnsi="Arial" w:cs="Arial"/>
          <w:bCs/>
          <w:sz w:val="18"/>
          <w:szCs w:val="18"/>
          <w:lang w:val="sk-SK"/>
        </w:rPr>
      </w:pPr>
    </w:p>
    <w:p w14:paraId="19BAB96E" w14:textId="77777777" w:rsidR="009233F7" w:rsidRDefault="009233F7" w:rsidP="007733FB">
      <w:pPr>
        <w:rPr>
          <w:rFonts w:ascii="Arial" w:hAnsi="Arial" w:cs="Arial"/>
          <w:bCs/>
          <w:sz w:val="18"/>
          <w:szCs w:val="18"/>
          <w:lang w:val="sk-SK"/>
        </w:rPr>
      </w:pPr>
    </w:p>
    <w:p w14:paraId="058A9CC7" w14:textId="77777777" w:rsidR="00C34793" w:rsidRDefault="00C34793" w:rsidP="007733FB">
      <w:pPr>
        <w:rPr>
          <w:rFonts w:ascii="Arial" w:hAnsi="Arial" w:cs="Arial"/>
          <w:bCs/>
          <w:sz w:val="18"/>
          <w:szCs w:val="18"/>
          <w:lang w:val="sk-SK"/>
        </w:rPr>
      </w:pPr>
    </w:p>
    <w:p w14:paraId="32C4E551" w14:textId="469E2619" w:rsidR="00D63D3E" w:rsidRDefault="00D63D3E" w:rsidP="007733FB">
      <w:pPr>
        <w:rPr>
          <w:rFonts w:ascii="Arial" w:hAnsi="Arial" w:cs="Arial"/>
          <w:bCs/>
          <w:sz w:val="18"/>
          <w:szCs w:val="18"/>
          <w:lang w:val="sk-SK"/>
        </w:rPr>
      </w:pPr>
    </w:p>
    <w:p w14:paraId="3C286679" w14:textId="77777777" w:rsidR="00D63D3E" w:rsidRDefault="00D63D3E" w:rsidP="007733FB">
      <w:pPr>
        <w:rPr>
          <w:rFonts w:ascii="Arial" w:hAnsi="Arial" w:cs="Arial"/>
          <w:bCs/>
          <w:sz w:val="18"/>
          <w:szCs w:val="18"/>
          <w:lang w:val="sk-SK"/>
        </w:rPr>
      </w:pPr>
    </w:p>
    <w:p w14:paraId="5EB0011B" w14:textId="77777777" w:rsidR="00765FE3" w:rsidRDefault="00765FE3" w:rsidP="007733FB">
      <w:pPr>
        <w:rPr>
          <w:rFonts w:ascii="Arial" w:hAnsi="Arial" w:cs="Arial"/>
          <w:bCs/>
          <w:sz w:val="18"/>
          <w:szCs w:val="18"/>
          <w:lang w:val="sk-SK"/>
        </w:rPr>
      </w:pPr>
    </w:p>
    <w:p w14:paraId="047C349E" w14:textId="77777777" w:rsidR="00D63D3E" w:rsidRDefault="00D63D3E" w:rsidP="00D63D3E">
      <w:pPr>
        <w:outlineLvl w:val="0"/>
        <w:rPr>
          <w:rFonts w:ascii="Arial" w:hAnsi="Arial" w:cs="Arial"/>
          <w:bCs/>
          <w:sz w:val="18"/>
          <w:szCs w:val="18"/>
          <w:lang w:val="sk-SK"/>
        </w:rPr>
      </w:pPr>
    </w:p>
    <w:p w14:paraId="66F7BFA4" w14:textId="77777777" w:rsidR="009233F7" w:rsidRDefault="009233F7" w:rsidP="00D63D3E">
      <w:pPr>
        <w:outlineLvl w:val="0"/>
        <w:rPr>
          <w:rFonts w:ascii="Arial" w:hAnsi="Arial" w:cs="Arial"/>
          <w:b/>
          <w:noProof/>
        </w:rPr>
      </w:pPr>
    </w:p>
    <w:p w14:paraId="6E7E4FB7" w14:textId="1F17968F" w:rsidR="006A4F3A" w:rsidRPr="0078688C" w:rsidRDefault="006A4F3A" w:rsidP="00D63D3E">
      <w:pPr>
        <w:outlineLvl w:val="0"/>
        <w:rPr>
          <w:rFonts w:ascii="Arial" w:hAnsi="Arial" w:cs="Arial"/>
          <w:b/>
          <w:bCs/>
          <w:noProof/>
          <w:color w:val="000000"/>
          <w:sz w:val="18"/>
          <w:szCs w:val="18"/>
        </w:rPr>
      </w:pPr>
      <w:r w:rsidRPr="00E43597">
        <w:rPr>
          <w:rFonts w:ascii="Arial" w:hAnsi="Arial" w:cs="Arial"/>
          <w:b/>
          <w:noProof/>
        </w:rPr>
        <w:t>For</w:t>
      </w:r>
      <w:r w:rsidRPr="00CB54CE">
        <w:rPr>
          <w:rFonts w:ascii="Arial" w:hAnsi="Arial" w:cs="Arial"/>
          <w:b/>
          <w:noProof/>
        </w:rPr>
        <w:t xml:space="preserve"> </w:t>
      </w:r>
      <w:r w:rsidRPr="00CB54CE">
        <w:rPr>
          <w:rFonts w:ascii="Arial" w:hAnsi="Arial" w:cs="Arial"/>
          <w:b/>
          <w:bCs/>
          <w:noProof/>
          <w:color w:val="000000"/>
          <w:sz w:val="18"/>
          <w:szCs w:val="18"/>
        </w:rPr>
        <w:t>further information please contact any member of the Bratislava Research Forum.</w:t>
      </w:r>
    </w:p>
    <w:p w14:paraId="7EC51544" w14:textId="498FC76E" w:rsidR="006A4F3A" w:rsidRPr="0078688C" w:rsidRDefault="006A4F3A" w:rsidP="006A4F3A">
      <w:pPr>
        <w:jc w:val="center"/>
        <w:outlineLvl w:val="0"/>
        <w:rPr>
          <w:rFonts w:ascii="Arial" w:hAnsi="Arial" w:cs="Arial"/>
          <w:b/>
          <w:bCs/>
          <w:color w:val="000000"/>
          <w:sz w:val="18"/>
          <w:szCs w:val="18"/>
        </w:rPr>
      </w:pPr>
    </w:p>
    <w:p w14:paraId="111EBBE2" w14:textId="3AF174AA" w:rsidR="00F520DB" w:rsidRPr="005D218F" w:rsidRDefault="00F520DB" w:rsidP="00710C2A">
      <w:pPr>
        <w:jc w:val="center"/>
        <w:outlineLvl w:val="0"/>
        <w:rPr>
          <w:rFonts w:ascii="Arial" w:hAnsi="Arial" w:cs="Arial"/>
          <w:b/>
          <w:bCs/>
          <w:color w:val="000000"/>
          <w:sz w:val="18"/>
          <w:szCs w:val="18"/>
          <w:lang w:val="sk-SK"/>
        </w:rPr>
      </w:pPr>
    </w:p>
    <w:p w14:paraId="631A7FC0" w14:textId="35FF3731" w:rsidR="00F520DB" w:rsidRPr="005D218F" w:rsidRDefault="006A4F3A" w:rsidP="00710C2A">
      <w:pPr>
        <w:jc w:val="center"/>
        <w:outlineLvl w:val="0"/>
        <w:rPr>
          <w:rFonts w:ascii="Arial" w:hAnsi="Arial" w:cs="Arial"/>
          <w:b/>
          <w:bCs/>
          <w:color w:val="000000"/>
          <w:sz w:val="18"/>
          <w:szCs w:val="18"/>
          <w:lang w:val="sk-SK"/>
        </w:rPr>
      </w:pPr>
      <w:r w:rsidRPr="000F7280">
        <w:rPr>
          <w:rFonts w:ascii="Garamond" w:hAnsi="Garamond"/>
          <w:noProof/>
          <w:sz w:val="24"/>
          <w:lang w:val="en-US"/>
        </w:rPr>
        <w:drawing>
          <wp:anchor distT="0" distB="0" distL="114300" distR="114300" simplePos="0" relativeHeight="251661312" behindDoc="0" locked="0" layoutInCell="1" allowOverlap="1" wp14:anchorId="0BB7277A" wp14:editId="0DE48ACD">
            <wp:simplePos x="0" y="0"/>
            <wp:positionH relativeFrom="column">
              <wp:posOffset>5015865</wp:posOffset>
            </wp:positionH>
            <wp:positionV relativeFrom="paragraph">
              <wp:posOffset>40640</wp:posOffset>
            </wp:positionV>
            <wp:extent cx="771525" cy="514350"/>
            <wp:effectExtent l="0" t="0" r="9525" b="0"/>
            <wp:wrapThrough wrapText="bothSides">
              <wp:wrapPolygon edited="0">
                <wp:start x="0" y="0"/>
                <wp:lineTo x="0" y="20800"/>
                <wp:lineTo x="21333" y="20800"/>
                <wp:lineTo x="21333" y="0"/>
                <wp:lineTo x="0" y="0"/>
              </wp:wrapPolygon>
            </wp:wrapThrough>
            <wp:docPr id="7" name="Picture 7" descr="collie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ier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514350"/>
                    </a:xfrm>
                    <a:prstGeom prst="rect">
                      <a:avLst/>
                    </a:prstGeom>
                    <a:noFill/>
                    <a:ln w="9525">
                      <a:noFill/>
                      <a:miter lim="800000"/>
                      <a:headEnd/>
                      <a:tailEnd/>
                    </a:ln>
                  </pic:spPr>
                </pic:pic>
              </a:graphicData>
            </a:graphic>
          </wp:anchor>
        </w:drawing>
      </w:r>
      <w:r w:rsidRPr="000F7280">
        <w:rPr>
          <w:rFonts w:ascii="Garamond" w:hAnsi="Garamond"/>
          <w:noProof/>
          <w:sz w:val="24"/>
          <w:lang w:val="en-US"/>
        </w:rPr>
        <w:drawing>
          <wp:anchor distT="0" distB="0" distL="114300" distR="114300" simplePos="0" relativeHeight="251662336" behindDoc="0" locked="0" layoutInCell="1" allowOverlap="1" wp14:anchorId="13D10011" wp14:editId="2EF70109">
            <wp:simplePos x="0" y="0"/>
            <wp:positionH relativeFrom="margin">
              <wp:posOffset>152400</wp:posOffset>
            </wp:positionH>
            <wp:positionV relativeFrom="paragraph">
              <wp:posOffset>59690</wp:posOffset>
            </wp:positionV>
            <wp:extent cx="1621790" cy="337820"/>
            <wp:effectExtent l="0" t="0" r="0" b="5080"/>
            <wp:wrapThrough wrapText="bothSides">
              <wp:wrapPolygon edited="0">
                <wp:start x="2537" y="0"/>
                <wp:lineTo x="0" y="8526"/>
                <wp:lineTo x="0" y="20707"/>
                <wp:lineTo x="21312" y="20707"/>
                <wp:lineTo x="21312" y="2436"/>
                <wp:lineTo x="3806" y="0"/>
                <wp:lineTo x="2537"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337820"/>
                    </a:xfrm>
                    <a:prstGeom prst="rect">
                      <a:avLst/>
                    </a:prstGeom>
                    <a:noFill/>
                  </pic:spPr>
                </pic:pic>
              </a:graphicData>
            </a:graphic>
            <wp14:sizeRelH relativeFrom="margin">
              <wp14:pctWidth>0</wp14:pctWidth>
            </wp14:sizeRelH>
            <wp14:sizeRelV relativeFrom="margin">
              <wp14:pctHeight>0</wp14:pctHeight>
            </wp14:sizeRelV>
          </wp:anchor>
        </w:drawing>
      </w:r>
      <w:r w:rsidRPr="000F7280">
        <w:rPr>
          <w:rFonts w:ascii="Garamond" w:hAnsi="Garamond"/>
          <w:noProof/>
          <w:sz w:val="24"/>
          <w:lang w:val="en-US"/>
        </w:rPr>
        <w:drawing>
          <wp:anchor distT="0" distB="0" distL="114300" distR="114300" simplePos="0" relativeHeight="251660288" behindDoc="0" locked="0" layoutInCell="1" allowOverlap="1" wp14:anchorId="52B7792E" wp14:editId="1AF51E42">
            <wp:simplePos x="0" y="0"/>
            <wp:positionH relativeFrom="column">
              <wp:posOffset>2253615</wp:posOffset>
            </wp:positionH>
            <wp:positionV relativeFrom="paragraph">
              <wp:posOffset>13970</wp:posOffset>
            </wp:positionV>
            <wp:extent cx="1079500" cy="479425"/>
            <wp:effectExtent l="0" t="0" r="6350" b="0"/>
            <wp:wrapThrough wrapText="bothSides">
              <wp:wrapPolygon edited="0">
                <wp:start x="0" y="0"/>
                <wp:lineTo x="0" y="20599"/>
                <wp:lineTo x="21346" y="20599"/>
                <wp:lineTo x="21346" y="0"/>
                <wp:lineTo x="0" y="0"/>
              </wp:wrapPolygon>
            </wp:wrapThrough>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9500" cy="479425"/>
                    </a:xfrm>
                    <a:prstGeom prst="rect">
                      <a:avLst/>
                    </a:prstGeom>
                  </pic:spPr>
                </pic:pic>
              </a:graphicData>
            </a:graphic>
          </wp:anchor>
        </w:drawing>
      </w:r>
      <w:r w:rsidRPr="000F7280">
        <w:rPr>
          <w:rFonts w:ascii="Garamond" w:hAnsi="Garamond"/>
          <w:noProof/>
          <w:sz w:val="24"/>
          <w:lang w:val="en-US"/>
        </w:rPr>
        <w:drawing>
          <wp:anchor distT="0" distB="0" distL="114300" distR="114300" simplePos="0" relativeHeight="251659264" behindDoc="0" locked="0" layoutInCell="1" allowOverlap="1" wp14:anchorId="1E7739F6" wp14:editId="23FC4CFE">
            <wp:simplePos x="0" y="0"/>
            <wp:positionH relativeFrom="column">
              <wp:posOffset>3574415</wp:posOffset>
            </wp:positionH>
            <wp:positionV relativeFrom="paragraph">
              <wp:posOffset>17145</wp:posOffset>
            </wp:positionV>
            <wp:extent cx="1123950" cy="542925"/>
            <wp:effectExtent l="0" t="0" r="0" b="9525"/>
            <wp:wrapThrough wrapText="bothSides">
              <wp:wrapPolygon edited="0">
                <wp:start x="0" y="0"/>
                <wp:lineTo x="0" y="21221"/>
                <wp:lineTo x="21234" y="21221"/>
                <wp:lineTo x="21234" y="0"/>
                <wp:lineTo x="0" y="0"/>
              </wp:wrapPolygon>
            </wp:wrapThrough>
            <wp:docPr id="8" name="Picture 8" descr="2011_CBRE_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1_CBRE_Logo_Gre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542925"/>
                    </a:xfrm>
                    <a:prstGeom prst="rect">
                      <a:avLst/>
                    </a:prstGeom>
                    <a:noFill/>
                    <a:ln w="9525">
                      <a:noFill/>
                      <a:miter lim="800000"/>
                      <a:headEnd/>
                      <a:tailEnd/>
                    </a:ln>
                  </pic:spPr>
                </pic:pic>
              </a:graphicData>
            </a:graphic>
          </wp:anchor>
        </w:drawing>
      </w:r>
    </w:p>
    <w:p w14:paraId="09B689A7" w14:textId="24E43E1A" w:rsidR="00E43597" w:rsidRPr="00F90D59" w:rsidRDefault="008638F0" w:rsidP="00F90D59">
      <w:pPr>
        <w:ind w:left="1440"/>
        <w:jc w:val="both"/>
        <w:rPr>
          <w:rFonts w:ascii="Garamond" w:hAnsi="Garamond"/>
          <w:sz w:val="24"/>
          <w:lang w:val="sk-SK"/>
        </w:rPr>
      </w:pPr>
      <w:r w:rsidRPr="005D218F">
        <w:rPr>
          <w:rFonts w:ascii="Garamond" w:hAnsi="Garamond"/>
          <w:sz w:val="24"/>
          <w:lang w:val="sk-SK"/>
        </w:rPr>
        <w:tab/>
      </w:r>
      <w:r w:rsidR="00145B44" w:rsidRPr="005D218F">
        <w:rPr>
          <w:rFonts w:ascii="Garamond" w:hAnsi="Garamond"/>
          <w:sz w:val="24"/>
          <w:lang w:val="sk-SK"/>
        </w:rPr>
        <w:tab/>
      </w:r>
      <w:r w:rsidR="00145B44" w:rsidRPr="005D218F">
        <w:rPr>
          <w:rFonts w:ascii="Garamond" w:hAnsi="Garamond"/>
          <w:sz w:val="24"/>
          <w:lang w:val="sk-SK"/>
        </w:rPr>
        <w:tab/>
      </w:r>
      <w:r w:rsidR="00145B44" w:rsidRPr="005D218F">
        <w:rPr>
          <w:rFonts w:ascii="Garamond" w:hAnsi="Garamond"/>
          <w:sz w:val="24"/>
          <w:lang w:val="sk-SK"/>
        </w:rPr>
        <w:tab/>
      </w:r>
      <w:r w:rsidR="00E43597" w:rsidRPr="005D218F">
        <w:rPr>
          <w:rFonts w:ascii="Garamond" w:hAnsi="Garamond"/>
          <w:noProof/>
          <w:sz w:val="24"/>
          <w:lang w:val="en-US"/>
        </w:rPr>
        <w:drawing>
          <wp:anchor distT="0" distB="0" distL="114300" distR="114300" simplePos="0" relativeHeight="251670528" behindDoc="0" locked="0" layoutInCell="1" allowOverlap="1" wp14:anchorId="6E71B671" wp14:editId="5B4FC5C6">
            <wp:simplePos x="543464" y="802257"/>
            <wp:positionH relativeFrom="margin">
              <wp:align>right</wp:align>
            </wp:positionH>
            <wp:positionV relativeFrom="margin">
              <wp:align>top</wp:align>
            </wp:positionV>
            <wp:extent cx="1752600" cy="640080"/>
            <wp:effectExtent l="0" t="0" r="0" b="7620"/>
            <wp:wrapSquare wrapText="bothSides"/>
            <wp:docPr id="10" name="Picture 10"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0" cy="640080"/>
                    </a:xfrm>
                    <a:prstGeom prst="rect">
                      <a:avLst/>
                    </a:prstGeom>
                    <a:noFill/>
                    <a:ln>
                      <a:noFill/>
                    </a:ln>
                  </pic:spPr>
                </pic:pic>
              </a:graphicData>
            </a:graphic>
          </wp:anchor>
        </w:drawing>
      </w:r>
    </w:p>
    <w:p w14:paraId="5F800EB6" w14:textId="77777777" w:rsidR="00D63D3E" w:rsidRDefault="00D63D3E" w:rsidP="006A4F3A">
      <w:pPr>
        <w:outlineLvl w:val="0"/>
        <w:rPr>
          <w:rFonts w:ascii="Arial" w:hAnsi="Arial" w:cs="Arial"/>
          <w:b/>
          <w:noProof/>
          <w:sz w:val="18"/>
          <w:szCs w:val="18"/>
        </w:rPr>
      </w:pPr>
    </w:p>
    <w:p w14:paraId="2E26C59A" w14:textId="77777777" w:rsidR="00E43597" w:rsidRDefault="00E43597" w:rsidP="006A4F3A">
      <w:pPr>
        <w:outlineLvl w:val="0"/>
        <w:rPr>
          <w:rFonts w:ascii="Arial" w:hAnsi="Arial" w:cs="Arial"/>
          <w:b/>
          <w:noProof/>
          <w:sz w:val="18"/>
          <w:szCs w:val="18"/>
        </w:rPr>
      </w:pPr>
    </w:p>
    <w:p w14:paraId="2C27A88B" w14:textId="3ACB8E81" w:rsidR="006A4F3A" w:rsidRPr="0078688C" w:rsidRDefault="006A4F3A" w:rsidP="006A4F3A">
      <w:pPr>
        <w:outlineLvl w:val="0"/>
        <w:rPr>
          <w:rFonts w:ascii="Arial" w:hAnsi="Arial" w:cs="Arial"/>
          <w:b/>
          <w:noProof/>
          <w:sz w:val="18"/>
          <w:szCs w:val="18"/>
        </w:rPr>
      </w:pPr>
      <w:r w:rsidRPr="00CB54CE">
        <w:rPr>
          <w:rFonts w:ascii="Arial" w:hAnsi="Arial" w:cs="Arial"/>
          <w:b/>
          <w:noProof/>
          <w:sz w:val="18"/>
          <w:szCs w:val="18"/>
        </w:rPr>
        <w:t>Definitions</w:t>
      </w:r>
    </w:p>
    <w:p w14:paraId="0879B43E" w14:textId="4ED5E281" w:rsidR="006A4F3A" w:rsidRPr="0078688C" w:rsidRDefault="006A4F3A" w:rsidP="006A4F3A">
      <w:pPr>
        <w:spacing w:before="120"/>
        <w:jc w:val="both"/>
        <w:outlineLvl w:val="0"/>
        <w:rPr>
          <w:rFonts w:ascii="Arial" w:hAnsi="Arial" w:cs="Arial"/>
          <w:i/>
          <w:sz w:val="18"/>
          <w:szCs w:val="18"/>
        </w:rPr>
      </w:pPr>
      <w:r w:rsidRPr="00CB54CE">
        <w:rPr>
          <w:rFonts w:ascii="Arial" w:hAnsi="Arial" w:cs="Arial"/>
          <w:b/>
          <w:i/>
          <w:noProof/>
          <w:sz w:val="18"/>
          <w:szCs w:val="18"/>
        </w:rPr>
        <w:t>Stock</w:t>
      </w:r>
      <w:r w:rsidRPr="00CB54CE">
        <w:rPr>
          <w:rFonts w:ascii="Arial" w:hAnsi="Arial" w:cs="Arial"/>
          <w:i/>
          <w:noProof/>
          <w:sz w:val="18"/>
          <w:szCs w:val="18"/>
        </w:rPr>
        <w:t>: Tota</w:t>
      </w:r>
      <w:r w:rsidRPr="00CB54CE">
        <w:rPr>
          <w:rFonts w:ascii="Arial" w:hAnsi="Arial" w:cs="Arial"/>
          <w:i/>
          <w:sz w:val="18"/>
          <w:szCs w:val="18"/>
        </w:rPr>
        <w:t xml:space="preserve">l completed office space (occupied and vacant), newly built since 1993 or refurbished, A and B class offices, owner occupied and for lease. Public authorities’ buildings </w:t>
      </w:r>
      <w:r w:rsidR="00217191">
        <w:rPr>
          <w:rFonts w:ascii="Arial" w:hAnsi="Arial" w:cs="Arial"/>
          <w:i/>
          <w:sz w:val="18"/>
          <w:szCs w:val="18"/>
        </w:rPr>
        <w:t xml:space="preserve">and buildings fewer than 800 </w:t>
      </w:r>
      <w:proofErr w:type="spellStart"/>
      <w:r w:rsidR="00217191">
        <w:rPr>
          <w:rFonts w:ascii="Arial" w:hAnsi="Arial" w:cs="Arial"/>
          <w:i/>
          <w:sz w:val="18"/>
          <w:szCs w:val="18"/>
        </w:rPr>
        <w:t>sq</w:t>
      </w:r>
      <w:proofErr w:type="spellEnd"/>
      <w:r w:rsidR="00217191">
        <w:rPr>
          <w:rFonts w:ascii="Arial" w:hAnsi="Arial" w:cs="Arial"/>
          <w:i/>
          <w:sz w:val="18"/>
          <w:szCs w:val="18"/>
        </w:rPr>
        <w:t xml:space="preserve"> </w:t>
      </w:r>
      <w:r w:rsidRPr="00CB54CE">
        <w:rPr>
          <w:rFonts w:ascii="Arial" w:hAnsi="Arial" w:cs="Arial"/>
          <w:i/>
          <w:sz w:val="18"/>
          <w:szCs w:val="18"/>
        </w:rPr>
        <w:t>m are excluded.</w:t>
      </w:r>
    </w:p>
    <w:p w14:paraId="40045689" w14:textId="77777777" w:rsidR="006A4F3A" w:rsidRPr="0078688C" w:rsidRDefault="006A4F3A" w:rsidP="006A4F3A">
      <w:pPr>
        <w:spacing w:before="120" w:after="120"/>
        <w:jc w:val="both"/>
        <w:outlineLvl w:val="0"/>
        <w:rPr>
          <w:rFonts w:ascii="Arial" w:hAnsi="Arial" w:cs="Arial"/>
          <w:i/>
          <w:noProof/>
          <w:sz w:val="18"/>
          <w:szCs w:val="18"/>
        </w:rPr>
      </w:pPr>
      <w:r w:rsidRPr="00CB54CE">
        <w:rPr>
          <w:rFonts w:ascii="Arial" w:hAnsi="Arial" w:cs="Arial"/>
          <w:b/>
          <w:i/>
          <w:noProof/>
          <w:sz w:val="18"/>
          <w:szCs w:val="18"/>
        </w:rPr>
        <w:t>New supply</w:t>
      </w:r>
      <w:r w:rsidRPr="00CB54CE">
        <w:rPr>
          <w:rFonts w:ascii="Arial" w:hAnsi="Arial" w:cs="Arial"/>
          <w:i/>
          <w:noProof/>
          <w:sz w:val="18"/>
          <w:szCs w:val="18"/>
        </w:rPr>
        <w:t>: Completed newly built or refurbished buildings that obtained a use permit in the given period.</w:t>
      </w:r>
    </w:p>
    <w:p w14:paraId="01789F76" w14:textId="77777777" w:rsidR="006A4F3A" w:rsidRPr="0078688C" w:rsidRDefault="006A4F3A" w:rsidP="006A4F3A">
      <w:pPr>
        <w:overflowPunct w:val="0"/>
        <w:autoSpaceDE w:val="0"/>
        <w:autoSpaceDN w:val="0"/>
        <w:adjustRightInd w:val="0"/>
        <w:jc w:val="both"/>
        <w:textAlignment w:val="baseline"/>
        <w:rPr>
          <w:rFonts w:ascii="Arial" w:hAnsi="Arial" w:cs="Arial"/>
          <w:i/>
          <w:sz w:val="18"/>
          <w:szCs w:val="18"/>
        </w:rPr>
      </w:pPr>
      <w:r w:rsidRPr="00CB54CE">
        <w:rPr>
          <w:rFonts w:ascii="Arial" w:hAnsi="Arial" w:cs="Arial"/>
          <w:b/>
          <w:i/>
          <w:noProof/>
          <w:sz w:val="18"/>
          <w:szCs w:val="18"/>
        </w:rPr>
        <w:t>A-Class office building</w:t>
      </w:r>
      <w:r w:rsidRPr="00CB54CE">
        <w:rPr>
          <w:rFonts w:ascii="Arial" w:hAnsi="Arial" w:cs="Arial"/>
          <w:i/>
          <w:noProof/>
          <w:sz w:val="18"/>
          <w:szCs w:val="18"/>
        </w:rPr>
        <w:t xml:space="preserve">: Reflects an above average fullfilment of the specific criteria including the following: integrated </w:t>
      </w:r>
      <w:r w:rsidRPr="00CB54CE">
        <w:rPr>
          <w:rFonts w:ascii="Arial" w:hAnsi="Arial" w:cs="Arial"/>
          <w:i/>
          <w:sz w:val="18"/>
          <w:szCs w:val="18"/>
        </w:rPr>
        <w:t xml:space="preserve">air conditioning system, limited total floor depth, floor to ceiling height minimum of 2.75m, flexibility of internal design, either three compartment trunking for telephones, electricity and computer cable or raised floors/suspended ceilings, manned reception and covered access to car parking, lift access and disabled access, dual power supply and/or power supply system back-up. </w:t>
      </w:r>
    </w:p>
    <w:p w14:paraId="0B8A359B" w14:textId="77777777" w:rsidR="006A4F3A" w:rsidRPr="0078688C" w:rsidRDefault="006A4F3A" w:rsidP="006A4F3A">
      <w:pPr>
        <w:pStyle w:val="Nadpis1"/>
        <w:spacing w:before="120" w:after="120"/>
        <w:jc w:val="both"/>
        <w:rPr>
          <w:rFonts w:cs="Arial"/>
          <w:b w:val="0"/>
          <w:i/>
          <w:kern w:val="0"/>
          <w:sz w:val="18"/>
          <w:szCs w:val="18"/>
        </w:rPr>
      </w:pPr>
      <w:r w:rsidRPr="00CB54CE">
        <w:rPr>
          <w:rFonts w:cs="Arial"/>
          <w:i/>
          <w:kern w:val="0"/>
          <w:sz w:val="18"/>
          <w:szCs w:val="18"/>
        </w:rPr>
        <w:t>B-Class office building</w:t>
      </w:r>
      <w:r w:rsidRPr="00CB54CE">
        <w:rPr>
          <w:rFonts w:cs="Arial"/>
          <w:b w:val="0"/>
          <w:i/>
          <w:kern w:val="0"/>
          <w:sz w:val="18"/>
          <w:szCs w:val="18"/>
        </w:rPr>
        <w:t>: Reflects an average or typical property in that market based on the above mentioned criteria.</w:t>
      </w:r>
    </w:p>
    <w:p w14:paraId="50373694" w14:textId="77777777" w:rsidR="006A4F3A" w:rsidRPr="0078688C" w:rsidRDefault="006A4F3A" w:rsidP="006A4F3A">
      <w:pPr>
        <w:jc w:val="both"/>
        <w:outlineLvl w:val="0"/>
        <w:rPr>
          <w:rFonts w:ascii="Arial" w:hAnsi="Arial" w:cs="Arial"/>
          <w:i/>
          <w:sz w:val="18"/>
          <w:szCs w:val="18"/>
        </w:rPr>
      </w:pPr>
      <w:r w:rsidRPr="00CB54CE">
        <w:rPr>
          <w:rFonts w:ascii="Arial" w:hAnsi="Arial" w:cs="Arial"/>
          <w:b/>
          <w:i/>
          <w:sz w:val="18"/>
          <w:szCs w:val="18"/>
        </w:rPr>
        <w:t>Take-up</w:t>
      </w:r>
      <w:r w:rsidRPr="00CB54CE">
        <w:rPr>
          <w:rFonts w:ascii="Arial" w:hAnsi="Arial" w:cs="Arial"/>
          <w:i/>
          <w:sz w:val="18"/>
          <w:szCs w:val="18"/>
        </w:rPr>
        <w:t>: A gross figure representing the total floor space known to have been let or pre-let, sold or pre-sold to tenants or owner-occupiers over a specified period of time. It does not include space that is under offer. A property is taken up when the contract is signed. Total take-up includes re-negotiations, net take-up excludes re-negotiations.</w:t>
      </w:r>
    </w:p>
    <w:p w14:paraId="7135A4BE" w14:textId="77777777" w:rsidR="006A4F3A" w:rsidRPr="0078688C" w:rsidRDefault="006A4F3A" w:rsidP="006A4F3A">
      <w:pPr>
        <w:spacing w:before="120"/>
        <w:jc w:val="both"/>
        <w:outlineLvl w:val="0"/>
        <w:rPr>
          <w:rFonts w:ascii="Arial" w:hAnsi="Arial" w:cs="Arial"/>
          <w:i/>
          <w:noProof/>
          <w:sz w:val="18"/>
          <w:szCs w:val="18"/>
        </w:rPr>
      </w:pPr>
      <w:r w:rsidRPr="00CB54CE">
        <w:rPr>
          <w:rFonts w:ascii="Arial" w:hAnsi="Arial" w:cs="Arial"/>
          <w:b/>
          <w:i/>
          <w:noProof/>
          <w:sz w:val="18"/>
          <w:szCs w:val="18"/>
        </w:rPr>
        <w:t>Pre-lease</w:t>
      </w:r>
      <w:r w:rsidRPr="00CB54CE">
        <w:rPr>
          <w:rFonts w:ascii="Arial" w:hAnsi="Arial" w:cs="Arial"/>
          <w:i/>
          <w:noProof/>
          <w:sz w:val="18"/>
          <w:szCs w:val="18"/>
        </w:rPr>
        <w:t xml:space="preserve">: </w:t>
      </w:r>
      <w:r w:rsidRPr="00CB54CE">
        <w:rPr>
          <w:rFonts w:ascii="Arial" w:hAnsi="Arial" w:cs="Arial"/>
          <w:i/>
          <w:color w:val="000000"/>
          <w:sz w:val="18"/>
          <w:szCs w:val="18"/>
          <w:lang w:eastAsia="cs-CZ"/>
        </w:rPr>
        <w:t>Active pre-leasing for an office building begins as soon as preliminary design drawings are ready to show to prospective tenants. Pre-leasing occurs until the start of construction.</w:t>
      </w:r>
    </w:p>
    <w:p w14:paraId="31FDEE6E" w14:textId="77777777" w:rsidR="006A4F3A" w:rsidRPr="0078688C" w:rsidRDefault="006A4F3A" w:rsidP="006A4F3A">
      <w:pPr>
        <w:spacing w:before="120" w:after="120"/>
        <w:jc w:val="both"/>
        <w:outlineLvl w:val="0"/>
        <w:rPr>
          <w:rFonts w:ascii="Arial" w:hAnsi="Arial" w:cs="Arial"/>
          <w:i/>
          <w:noProof/>
          <w:sz w:val="18"/>
          <w:szCs w:val="18"/>
        </w:rPr>
      </w:pPr>
      <w:r w:rsidRPr="00CB54CE">
        <w:rPr>
          <w:rFonts w:ascii="Arial" w:hAnsi="Arial" w:cs="Arial"/>
          <w:b/>
          <w:i/>
          <w:noProof/>
          <w:sz w:val="18"/>
          <w:szCs w:val="18"/>
        </w:rPr>
        <w:t>Vacancy rate</w:t>
      </w:r>
      <w:r w:rsidRPr="00CB54CE">
        <w:rPr>
          <w:rFonts w:ascii="Arial" w:hAnsi="Arial" w:cs="Arial"/>
          <w:i/>
          <w:noProof/>
          <w:sz w:val="18"/>
          <w:szCs w:val="18"/>
        </w:rPr>
        <w:t>: Ratio of physically vacant space in completed buildings as a percentage of  the total stock.</w:t>
      </w:r>
    </w:p>
    <w:p w14:paraId="75B0D0E4" w14:textId="77777777" w:rsidR="006A4F3A" w:rsidRPr="0078688C" w:rsidRDefault="006A4F3A" w:rsidP="006A4F3A">
      <w:pPr>
        <w:jc w:val="both"/>
        <w:rPr>
          <w:rFonts w:ascii="Arial" w:hAnsi="Arial" w:cs="Arial"/>
          <w:i/>
          <w:sz w:val="18"/>
          <w:szCs w:val="18"/>
        </w:rPr>
      </w:pPr>
      <w:r w:rsidRPr="00CB54CE">
        <w:rPr>
          <w:rFonts w:ascii="Arial" w:hAnsi="Arial" w:cs="Arial"/>
          <w:b/>
          <w:i/>
          <w:sz w:val="18"/>
          <w:szCs w:val="18"/>
        </w:rPr>
        <w:t>Prime rent</w:t>
      </w:r>
      <w:r w:rsidRPr="00CB54CE">
        <w:rPr>
          <w:rFonts w:ascii="Arial" w:hAnsi="Arial" w:cs="Arial"/>
          <w:i/>
          <w:sz w:val="18"/>
          <w:szCs w:val="18"/>
        </w:rPr>
        <w:t xml:space="preserve">: Achieved rents that relate to new prime, high specification units in prime locations. </w:t>
      </w:r>
    </w:p>
    <w:p w14:paraId="0ADBA593" w14:textId="2B9271E2" w:rsidR="00710C2A" w:rsidRPr="005D218F" w:rsidRDefault="00710C2A" w:rsidP="006A4F3A">
      <w:pPr>
        <w:spacing w:before="120"/>
        <w:jc w:val="both"/>
        <w:outlineLvl w:val="0"/>
        <w:rPr>
          <w:rFonts w:ascii="Arial" w:hAnsi="Arial" w:cs="Arial"/>
          <w:b/>
          <w:bCs/>
          <w:color w:val="000000"/>
          <w:sz w:val="18"/>
          <w:szCs w:val="18"/>
          <w:lang w:val="sk-SK"/>
        </w:rPr>
      </w:pPr>
    </w:p>
    <w:p w14:paraId="276BB1A6" w14:textId="77777777" w:rsidR="00710C2A" w:rsidRPr="005D218F" w:rsidRDefault="00710C2A" w:rsidP="00864EA6">
      <w:pPr>
        <w:outlineLvl w:val="0"/>
        <w:rPr>
          <w:rFonts w:ascii="Arial" w:hAnsi="Arial" w:cs="Arial"/>
          <w:b/>
          <w:sz w:val="18"/>
          <w:szCs w:val="18"/>
          <w:lang w:val="sk-SK"/>
        </w:rPr>
      </w:pPr>
    </w:p>
    <w:p w14:paraId="698AFE73" w14:textId="77777777" w:rsidR="00710C2A" w:rsidRPr="005D218F" w:rsidRDefault="00710C2A" w:rsidP="00864EA6">
      <w:pPr>
        <w:outlineLvl w:val="0"/>
        <w:rPr>
          <w:rFonts w:ascii="Arial" w:hAnsi="Arial" w:cs="Arial"/>
          <w:b/>
          <w:sz w:val="18"/>
          <w:szCs w:val="18"/>
          <w:lang w:val="sk-SK"/>
        </w:rPr>
      </w:pPr>
    </w:p>
    <w:p w14:paraId="1450771E" w14:textId="77777777" w:rsidR="00710C2A" w:rsidRPr="005D218F" w:rsidRDefault="00710C2A" w:rsidP="00864EA6">
      <w:pPr>
        <w:outlineLvl w:val="0"/>
        <w:rPr>
          <w:rFonts w:ascii="Arial" w:hAnsi="Arial" w:cs="Arial"/>
          <w:b/>
          <w:sz w:val="18"/>
          <w:szCs w:val="18"/>
          <w:lang w:val="sk-SK"/>
        </w:rPr>
      </w:pPr>
    </w:p>
    <w:p w14:paraId="6DF67E9B" w14:textId="77777777" w:rsidR="00710C2A" w:rsidRPr="005D218F" w:rsidRDefault="00710C2A" w:rsidP="00864EA6">
      <w:pPr>
        <w:outlineLvl w:val="0"/>
        <w:rPr>
          <w:rFonts w:ascii="Arial" w:hAnsi="Arial" w:cs="Arial"/>
          <w:b/>
          <w:sz w:val="18"/>
          <w:szCs w:val="18"/>
          <w:lang w:val="sk-SK"/>
        </w:rPr>
      </w:pPr>
    </w:p>
    <w:p w14:paraId="2463EFCE" w14:textId="77777777" w:rsidR="00710C2A" w:rsidRPr="005D218F" w:rsidRDefault="00710C2A" w:rsidP="00864EA6">
      <w:pPr>
        <w:autoSpaceDE w:val="0"/>
        <w:autoSpaceDN w:val="0"/>
        <w:adjustRightInd w:val="0"/>
        <w:spacing w:after="20"/>
        <w:rPr>
          <w:rFonts w:ascii="Arial" w:hAnsi="Arial" w:cs="Arial"/>
          <w:b/>
          <w:lang w:val="sk-SK"/>
        </w:rPr>
      </w:pPr>
    </w:p>
    <w:p w14:paraId="28F3701A" w14:textId="77777777" w:rsidR="00710C2A" w:rsidRPr="005D218F" w:rsidRDefault="00710C2A" w:rsidP="00864EA6">
      <w:pPr>
        <w:autoSpaceDE w:val="0"/>
        <w:autoSpaceDN w:val="0"/>
        <w:adjustRightInd w:val="0"/>
        <w:spacing w:after="20"/>
        <w:rPr>
          <w:rFonts w:ascii="Arial" w:hAnsi="Arial" w:cs="Arial"/>
          <w:b/>
          <w:lang w:val="sk-SK"/>
        </w:rPr>
      </w:pPr>
    </w:p>
    <w:p w14:paraId="1E206D1D" w14:textId="77777777" w:rsidR="00710C2A" w:rsidRPr="005D218F" w:rsidRDefault="00710C2A" w:rsidP="00864EA6">
      <w:pPr>
        <w:autoSpaceDE w:val="0"/>
        <w:autoSpaceDN w:val="0"/>
        <w:adjustRightInd w:val="0"/>
        <w:spacing w:after="20"/>
        <w:rPr>
          <w:rFonts w:ascii="Arial" w:hAnsi="Arial" w:cs="Arial"/>
          <w:b/>
          <w:lang w:val="sk-SK"/>
        </w:rPr>
      </w:pPr>
    </w:p>
    <w:p w14:paraId="5D06B8F1" w14:textId="77777777" w:rsidR="00710C2A" w:rsidRPr="005D218F" w:rsidRDefault="00710C2A" w:rsidP="00864EA6">
      <w:pPr>
        <w:autoSpaceDE w:val="0"/>
        <w:autoSpaceDN w:val="0"/>
        <w:adjustRightInd w:val="0"/>
        <w:spacing w:after="20"/>
        <w:rPr>
          <w:rFonts w:ascii="Arial" w:hAnsi="Arial" w:cs="Arial"/>
          <w:b/>
          <w:lang w:val="sk-SK"/>
        </w:rPr>
      </w:pPr>
    </w:p>
    <w:p w14:paraId="6AFD2298" w14:textId="77777777" w:rsidR="00ED63F2" w:rsidRPr="005D218F" w:rsidRDefault="00ED63F2" w:rsidP="00864EA6">
      <w:pPr>
        <w:autoSpaceDE w:val="0"/>
        <w:autoSpaceDN w:val="0"/>
        <w:adjustRightInd w:val="0"/>
        <w:spacing w:after="20"/>
        <w:rPr>
          <w:rFonts w:ascii="Arial" w:hAnsi="Arial" w:cs="Arial"/>
          <w:b/>
          <w:lang w:val="sk-SK"/>
        </w:rPr>
      </w:pPr>
    </w:p>
    <w:p w14:paraId="0C25034E" w14:textId="77777777" w:rsidR="00ED63F2" w:rsidRPr="005D218F" w:rsidRDefault="00ED63F2" w:rsidP="00864EA6">
      <w:pPr>
        <w:autoSpaceDE w:val="0"/>
        <w:autoSpaceDN w:val="0"/>
        <w:adjustRightInd w:val="0"/>
        <w:spacing w:after="20"/>
        <w:rPr>
          <w:rFonts w:ascii="Arial" w:hAnsi="Arial" w:cs="Arial"/>
          <w:b/>
          <w:lang w:val="sk-SK"/>
        </w:rPr>
      </w:pPr>
    </w:p>
    <w:p w14:paraId="02FC71F9" w14:textId="77777777" w:rsidR="00ED63F2" w:rsidRPr="005D218F" w:rsidRDefault="00ED63F2" w:rsidP="00864EA6">
      <w:pPr>
        <w:autoSpaceDE w:val="0"/>
        <w:autoSpaceDN w:val="0"/>
        <w:adjustRightInd w:val="0"/>
        <w:spacing w:after="20"/>
        <w:rPr>
          <w:rFonts w:ascii="Arial" w:hAnsi="Arial" w:cs="Arial"/>
          <w:b/>
          <w:lang w:val="sk-SK"/>
        </w:rPr>
      </w:pPr>
    </w:p>
    <w:p w14:paraId="29AD1E7F" w14:textId="77777777" w:rsidR="00ED63F2" w:rsidRPr="005D218F" w:rsidRDefault="00ED63F2" w:rsidP="00864EA6">
      <w:pPr>
        <w:autoSpaceDE w:val="0"/>
        <w:autoSpaceDN w:val="0"/>
        <w:adjustRightInd w:val="0"/>
        <w:spacing w:after="20"/>
        <w:rPr>
          <w:rFonts w:ascii="Arial" w:hAnsi="Arial" w:cs="Arial"/>
          <w:b/>
          <w:lang w:val="sk-SK"/>
        </w:rPr>
      </w:pPr>
    </w:p>
    <w:p w14:paraId="7177BB16" w14:textId="77777777" w:rsidR="00ED63F2" w:rsidRPr="005D218F" w:rsidRDefault="00ED63F2" w:rsidP="00864EA6">
      <w:pPr>
        <w:autoSpaceDE w:val="0"/>
        <w:autoSpaceDN w:val="0"/>
        <w:adjustRightInd w:val="0"/>
        <w:spacing w:after="20"/>
        <w:rPr>
          <w:rFonts w:ascii="Arial" w:hAnsi="Arial" w:cs="Arial"/>
          <w:b/>
          <w:lang w:val="sk-SK"/>
        </w:rPr>
      </w:pPr>
    </w:p>
    <w:p w14:paraId="1C3CE392" w14:textId="77777777" w:rsidR="006A4F3A" w:rsidRPr="0078688C" w:rsidRDefault="006A4F3A" w:rsidP="006A4F3A">
      <w:pPr>
        <w:autoSpaceDE w:val="0"/>
        <w:autoSpaceDN w:val="0"/>
        <w:adjustRightInd w:val="0"/>
        <w:spacing w:after="20"/>
        <w:jc w:val="both"/>
        <w:rPr>
          <w:rFonts w:ascii="Arial" w:hAnsi="Arial" w:cs="Arial"/>
          <w:b/>
        </w:rPr>
      </w:pPr>
    </w:p>
    <w:p w14:paraId="5B3DDE61" w14:textId="77777777" w:rsidR="006A4F3A" w:rsidRDefault="006A4F3A" w:rsidP="006A4F3A">
      <w:pPr>
        <w:autoSpaceDE w:val="0"/>
        <w:autoSpaceDN w:val="0"/>
        <w:adjustRightInd w:val="0"/>
        <w:spacing w:after="20"/>
        <w:jc w:val="both"/>
        <w:rPr>
          <w:rFonts w:ascii="Arial" w:hAnsi="Arial" w:cs="Arial"/>
          <w:b/>
          <w:lang w:eastAsia="cs-CZ"/>
        </w:rPr>
      </w:pPr>
      <w:bookmarkStart w:id="3" w:name="OLE_LINK7"/>
      <w:bookmarkStart w:id="4" w:name="OLE_LINK8"/>
    </w:p>
    <w:p w14:paraId="7B6F9BEC" w14:textId="77777777" w:rsidR="006A4F3A" w:rsidRDefault="006A4F3A" w:rsidP="006A4F3A">
      <w:pPr>
        <w:autoSpaceDE w:val="0"/>
        <w:autoSpaceDN w:val="0"/>
        <w:adjustRightInd w:val="0"/>
        <w:spacing w:after="20"/>
        <w:jc w:val="both"/>
        <w:rPr>
          <w:rFonts w:ascii="Arial" w:hAnsi="Arial" w:cs="Arial"/>
          <w:b/>
          <w:lang w:eastAsia="cs-CZ"/>
        </w:rPr>
      </w:pPr>
    </w:p>
    <w:p w14:paraId="1ED9C25A" w14:textId="77777777" w:rsidR="006A4F3A" w:rsidRDefault="006A4F3A" w:rsidP="006A4F3A">
      <w:pPr>
        <w:autoSpaceDE w:val="0"/>
        <w:autoSpaceDN w:val="0"/>
        <w:adjustRightInd w:val="0"/>
        <w:spacing w:after="20"/>
        <w:jc w:val="both"/>
        <w:rPr>
          <w:rFonts w:ascii="Arial" w:hAnsi="Arial" w:cs="Arial"/>
          <w:b/>
          <w:lang w:eastAsia="cs-CZ"/>
        </w:rPr>
      </w:pPr>
    </w:p>
    <w:p w14:paraId="66F307C4" w14:textId="744C7F3F" w:rsidR="006A4F3A" w:rsidRPr="0078688C" w:rsidRDefault="006A4F3A" w:rsidP="006A4F3A">
      <w:pPr>
        <w:autoSpaceDE w:val="0"/>
        <w:autoSpaceDN w:val="0"/>
        <w:adjustRightInd w:val="0"/>
        <w:spacing w:after="20"/>
        <w:jc w:val="both"/>
        <w:rPr>
          <w:rFonts w:ascii="Arial" w:hAnsi="Arial" w:cs="Arial"/>
          <w:b/>
          <w:lang w:eastAsia="cs-CZ"/>
        </w:rPr>
      </w:pPr>
      <w:r w:rsidRPr="00CB54CE">
        <w:rPr>
          <w:rFonts w:ascii="Arial" w:hAnsi="Arial" w:cs="Arial"/>
          <w:b/>
          <w:lang w:eastAsia="cs-CZ"/>
        </w:rPr>
        <w:t xml:space="preserve">COPYRIGHT </w:t>
      </w:r>
      <w:r w:rsidR="00D63D3E">
        <w:rPr>
          <w:rFonts w:ascii="Arial" w:hAnsi="Arial" w:cs="Arial"/>
          <w:b/>
          <w:lang w:eastAsia="cs-CZ"/>
        </w:rPr>
        <w:t>© Bratislava Research Forum 2018</w:t>
      </w:r>
    </w:p>
    <w:p w14:paraId="147DDF18" w14:textId="77777777" w:rsidR="006A4F3A" w:rsidRPr="00F117D1" w:rsidRDefault="006A4F3A" w:rsidP="006A4F3A">
      <w:pPr>
        <w:jc w:val="both"/>
        <w:outlineLvl w:val="0"/>
        <w:rPr>
          <w:rFonts w:ascii="Arial" w:hAnsi="Arial" w:cs="Arial"/>
          <w:lang w:eastAsia="cs-CZ"/>
        </w:rPr>
      </w:pPr>
      <w:r w:rsidRPr="00CB54CE">
        <w:rPr>
          <w:rFonts w:ascii="Arial" w:hAnsi="Arial" w:cs="Arial"/>
          <w:lang w:eastAsia="cs-CZ"/>
        </w:rPr>
        <w:t>This publication is the sole property of the Bratislava Research Forum, (Members: Cushman and Wakefield, CBRE, Colliers International and Jones Lang LaSalle) and must not be copied, reproduced or transmitted in any form or by any means, either in whole or in part, without the prior written consent of the Bratislava Research Forum. The information contained in this publication has been obtained from sources generally regarded to be reliable. However, no representation is made, or warranty given, in respect of the accuracy of this information.  We would like to be informed of any inaccuracies so that we may correct them.  The Bratislava Research Forum, does not accept any liability in negligence or otherwise for any loss or damage suffered by any party resulting from reliance on this publication.</w:t>
      </w:r>
      <w:bookmarkEnd w:id="3"/>
      <w:bookmarkEnd w:id="4"/>
    </w:p>
    <w:p w14:paraId="17815208" w14:textId="77777777" w:rsidR="00864EA6" w:rsidRPr="005D218F" w:rsidRDefault="00864EA6" w:rsidP="00E44F22">
      <w:pPr>
        <w:ind w:left="1440"/>
        <w:jc w:val="both"/>
        <w:rPr>
          <w:rFonts w:ascii="Garamond" w:hAnsi="Garamond"/>
          <w:sz w:val="24"/>
          <w:lang w:val="sk-SK"/>
        </w:rPr>
      </w:pPr>
      <w:r w:rsidRPr="005D218F">
        <w:rPr>
          <w:rFonts w:ascii="Garamond" w:hAnsi="Garamond"/>
          <w:sz w:val="24"/>
          <w:lang w:val="sk-SK"/>
        </w:rPr>
        <w:tab/>
      </w:r>
      <w:r w:rsidRPr="005D218F">
        <w:rPr>
          <w:rFonts w:ascii="Garamond" w:hAnsi="Garamond"/>
          <w:sz w:val="24"/>
          <w:lang w:val="sk-SK"/>
        </w:rPr>
        <w:tab/>
      </w:r>
      <w:r w:rsidRPr="005D218F">
        <w:rPr>
          <w:rFonts w:ascii="Garamond" w:hAnsi="Garamond"/>
          <w:sz w:val="24"/>
          <w:lang w:val="sk-SK"/>
        </w:rPr>
        <w:tab/>
      </w:r>
      <w:r w:rsidRPr="005D218F">
        <w:rPr>
          <w:rFonts w:ascii="Garamond" w:hAnsi="Garamond"/>
          <w:sz w:val="24"/>
          <w:lang w:val="sk-SK"/>
        </w:rPr>
        <w:tab/>
      </w:r>
    </w:p>
    <w:p w14:paraId="5734A8BD" w14:textId="77777777" w:rsidR="00864EA6" w:rsidRPr="005D218F" w:rsidRDefault="000F7280" w:rsidP="00710C2A">
      <w:pPr>
        <w:jc w:val="both"/>
        <w:outlineLvl w:val="0"/>
        <w:rPr>
          <w:rFonts w:ascii="Arial" w:hAnsi="Arial" w:cs="Arial"/>
          <w:lang w:val="sk-SK" w:eastAsia="cs-CZ"/>
        </w:rPr>
      </w:pPr>
      <w:r w:rsidRPr="000F7280">
        <w:rPr>
          <w:rFonts w:ascii="Arial" w:hAnsi="Arial" w:cs="Arial"/>
          <w:noProof/>
          <w:lang w:val="en-US"/>
        </w:rPr>
        <w:drawing>
          <wp:anchor distT="0" distB="0" distL="114300" distR="114300" simplePos="0" relativeHeight="251664384" behindDoc="0" locked="0" layoutInCell="1" allowOverlap="1" wp14:anchorId="20E97E0C" wp14:editId="38956754">
            <wp:simplePos x="0" y="0"/>
            <wp:positionH relativeFrom="column">
              <wp:posOffset>3507740</wp:posOffset>
            </wp:positionH>
            <wp:positionV relativeFrom="paragraph">
              <wp:posOffset>142875</wp:posOffset>
            </wp:positionV>
            <wp:extent cx="1123950" cy="542925"/>
            <wp:effectExtent l="0" t="0" r="0" b="9525"/>
            <wp:wrapThrough wrapText="bothSides">
              <wp:wrapPolygon edited="0">
                <wp:start x="0" y="0"/>
                <wp:lineTo x="0" y="21221"/>
                <wp:lineTo x="21234" y="21221"/>
                <wp:lineTo x="21234" y="0"/>
                <wp:lineTo x="0" y="0"/>
              </wp:wrapPolygon>
            </wp:wrapThrough>
            <wp:docPr id="6" name="Picture 6" descr="2011_CBRE_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1_CBRE_Logo_Gre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542925"/>
                    </a:xfrm>
                    <a:prstGeom prst="rect">
                      <a:avLst/>
                    </a:prstGeom>
                    <a:noFill/>
                    <a:ln w="9525">
                      <a:noFill/>
                      <a:miter lim="800000"/>
                      <a:headEnd/>
                      <a:tailEnd/>
                    </a:ln>
                  </pic:spPr>
                </pic:pic>
              </a:graphicData>
            </a:graphic>
          </wp:anchor>
        </w:drawing>
      </w:r>
      <w:r w:rsidRPr="000F7280">
        <w:rPr>
          <w:rFonts w:ascii="Arial" w:hAnsi="Arial" w:cs="Arial"/>
          <w:noProof/>
          <w:lang w:val="en-US"/>
        </w:rPr>
        <w:drawing>
          <wp:anchor distT="0" distB="0" distL="114300" distR="114300" simplePos="0" relativeHeight="251665408" behindDoc="0" locked="0" layoutInCell="1" allowOverlap="1" wp14:anchorId="56A9DA9B" wp14:editId="4D344506">
            <wp:simplePos x="0" y="0"/>
            <wp:positionH relativeFrom="column">
              <wp:posOffset>2025015</wp:posOffset>
            </wp:positionH>
            <wp:positionV relativeFrom="paragraph">
              <wp:posOffset>182245</wp:posOffset>
            </wp:positionV>
            <wp:extent cx="1079500" cy="479425"/>
            <wp:effectExtent l="0" t="0" r="6350" b="0"/>
            <wp:wrapThrough wrapText="bothSides">
              <wp:wrapPolygon edited="0">
                <wp:start x="0" y="0"/>
                <wp:lineTo x="0" y="20599"/>
                <wp:lineTo x="21346" y="20599"/>
                <wp:lineTo x="21346" y="0"/>
                <wp:lineTo x="0" y="0"/>
              </wp:wrapPolygon>
            </wp:wrapThrough>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9500" cy="479425"/>
                    </a:xfrm>
                    <a:prstGeom prst="rect">
                      <a:avLst/>
                    </a:prstGeom>
                  </pic:spPr>
                </pic:pic>
              </a:graphicData>
            </a:graphic>
          </wp:anchor>
        </w:drawing>
      </w:r>
      <w:r w:rsidRPr="000F7280">
        <w:rPr>
          <w:rFonts w:ascii="Arial" w:hAnsi="Arial" w:cs="Arial"/>
          <w:noProof/>
          <w:lang w:val="en-US"/>
        </w:rPr>
        <w:drawing>
          <wp:anchor distT="0" distB="0" distL="114300" distR="114300" simplePos="0" relativeHeight="251666432" behindDoc="0" locked="0" layoutInCell="1" allowOverlap="1" wp14:anchorId="6948D36A" wp14:editId="29E37A5A">
            <wp:simplePos x="0" y="0"/>
            <wp:positionH relativeFrom="column">
              <wp:posOffset>5034915</wp:posOffset>
            </wp:positionH>
            <wp:positionV relativeFrom="paragraph">
              <wp:posOffset>142875</wp:posOffset>
            </wp:positionV>
            <wp:extent cx="771525" cy="514350"/>
            <wp:effectExtent l="0" t="0" r="9525" b="0"/>
            <wp:wrapThrough wrapText="bothSides">
              <wp:wrapPolygon edited="0">
                <wp:start x="0" y="0"/>
                <wp:lineTo x="0" y="20800"/>
                <wp:lineTo x="21333" y="20800"/>
                <wp:lineTo x="21333" y="0"/>
                <wp:lineTo x="0" y="0"/>
              </wp:wrapPolygon>
            </wp:wrapThrough>
            <wp:docPr id="17" name="Picture 17" descr="collie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ier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514350"/>
                    </a:xfrm>
                    <a:prstGeom prst="rect">
                      <a:avLst/>
                    </a:prstGeom>
                    <a:noFill/>
                    <a:ln w="9525">
                      <a:noFill/>
                      <a:miter lim="800000"/>
                      <a:headEnd/>
                      <a:tailEnd/>
                    </a:ln>
                  </pic:spPr>
                </pic:pic>
              </a:graphicData>
            </a:graphic>
          </wp:anchor>
        </w:drawing>
      </w:r>
      <w:r w:rsidRPr="000F7280">
        <w:rPr>
          <w:rFonts w:ascii="Arial" w:hAnsi="Arial" w:cs="Arial"/>
          <w:noProof/>
          <w:lang w:val="en-US"/>
        </w:rPr>
        <w:drawing>
          <wp:anchor distT="0" distB="0" distL="114300" distR="114300" simplePos="0" relativeHeight="251667456" behindDoc="0" locked="0" layoutInCell="1" allowOverlap="1" wp14:anchorId="16D9974E" wp14:editId="348E3F30">
            <wp:simplePos x="0" y="0"/>
            <wp:positionH relativeFrom="column">
              <wp:posOffset>0</wp:posOffset>
            </wp:positionH>
            <wp:positionV relativeFrom="paragraph">
              <wp:posOffset>238125</wp:posOffset>
            </wp:positionV>
            <wp:extent cx="1621790" cy="337820"/>
            <wp:effectExtent l="0" t="0" r="0" b="5080"/>
            <wp:wrapThrough wrapText="bothSides">
              <wp:wrapPolygon edited="0">
                <wp:start x="2537" y="0"/>
                <wp:lineTo x="0" y="8526"/>
                <wp:lineTo x="0" y="20707"/>
                <wp:lineTo x="21312" y="20707"/>
                <wp:lineTo x="21312" y="2436"/>
                <wp:lineTo x="3806" y="0"/>
                <wp:lineTo x="2537"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337820"/>
                    </a:xfrm>
                    <a:prstGeom prst="rect">
                      <a:avLst/>
                    </a:prstGeom>
                    <a:noFill/>
                  </pic:spPr>
                </pic:pic>
              </a:graphicData>
            </a:graphic>
            <wp14:sizeRelH relativeFrom="margin">
              <wp14:pctWidth>0</wp14:pctWidth>
            </wp14:sizeRelH>
            <wp14:sizeRelV relativeFrom="margin">
              <wp14:pctHeight>0</wp14:pctHeight>
            </wp14:sizeRelV>
          </wp:anchor>
        </w:drawing>
      </w:r>
    </w:p>
    <w:sectPr w:rsidR="00864EA6" w:rsidRPr="005D218F" w:rsidSect="00FC3D77">
      <w:pgSz w:w="11906" w:h="16838" w:code="9"/>
      <w:pgMar w:top="719"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76BB1"/>
    <w:multiLevelType w:val="hybridMultilevel"/>
    <w:tmpl w:val="DD20A8C0"/>
    <w:lvl w:ilvl="0" w:tplc="A24EF634">
      <w:numFmt w:val="bullet"/>
      <w:lvlText w:val="-"/>
      <w:lvlJc w:val="left"/>
      <w:pPr>
        <w:ind w:left="390" w:hanging="360"/>
      </w:pPr>
      <w:rPr>
        <w:rFonts w:ascii="Arial" w:eastAsia="Times New Roman" w:hAnsi="Arial" w:cs="Aria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15:restartNumberingAfterBreak="0">
    <w:nsid w:val="69BE790F"/>
    <w:multiLevelType w:val="hybridMultilevel"/>
    <w:tmpl w:val="06B22470"/>
    <w:lvl w:ilvl="0" w:tplc="83A4889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A8"/>
    <w:rsid w:val="00006E17"/>
    <w:rsid w:val="00006E5B"/>
    <w:rsid w:val="0001272D"/>
    <w:rsid w:val="00013C1B"/>
    <w:rsid w:val="00015242"/>
    <w:rsid w:val="00022860"/>
    <w:rsid w:val="000237A1"/>
    <w:rsid w:val="00034978"/>
    <w:rsid w:val="00036EA0"/>
    <w:rsid w:val="00042713"/>
    <w:rsid w:val="00045731"/>
    <w:rsid w:val="00050D85"/>
    <w:rsid w:val="00052990"/>
    <w:rsid w:val="00057489"/>
    <w:rsid w:val="0006226E"/>
    <w:rsid w:val="0006684F"/>
    <w:rsid w:val="00071548"/>
    <w:rsid w:val="00071BE2"/>
    <w:rsid w:val="000813DC"/>
    <w:rsid w:val="00084F59"/>
    <w:rsid w:val="000870CC"/>
    <w:rsid w:val="000902C2"/>
    <w:rsid w:val="000919F1"/>
    <w:rsid w:val="000940C0"/>
    <w:rsid w:val="00096504"/>
    <w:rsid w:val="000965A2"/>
    <w:rsid w:val="000A23D9"/>
    <w:rsid w:val="000A3769"/>
    <w:rsid w:val="000A613F"/>
    <w:rsid w:val="000A6B60"/>
    <w:rsid w:val="000B45ED"/>
    <w:rsid w:val="000C2FC8"/>
    <w:rsid w:val="000F0CE0"/>
    <w:rsid w:val="000F1700"/>
    <w:rsid w:val="000F37DC"/>
    <w:rsid w:val="000F7280"/>
    <w:rsid w:val="000F7D45"/>
    <w:rsid w:val="00103B32"/>
    <w:rsid w:val="0010799D"/>
    <w:rsid w:val="001148D3"/>
    <w:rsid w:val="00121D27"/>
    <w:rsid w:val="00130A9B"/>
    <w:rsid w:val="00132B02"/>
    <w:rsid w:val="001368E2"/>
    <w:rsid w:val="00136EFA"/>
    <w:rsid w:val="00143A8E"/>
    <w:rsid w:val="00145B44"/>
    <w:rsid w:val="00150F93"/>
    <w:rsid w:val="001539E6"/>
    <w:rsid w:val="00160F2A"/>
    <w:rsid w:val="00160FAA"/>
    <w:rsid w:val="00163524"/>
    <w:rsid w:val="00164A6A"/>
    <w:rsid w:val="00164EBA"/>
    <w:rsid w:val="00170BD7"/>
    <w:rsid w:val="001864D7"/>
    <w:rsid w:val="00192DDF"/>
    <w:rsid w:val="001A4A53"/>
    <w:rsid w:val="001A52D9"/>
    <w:rsid w:val="001A5D69"/>
    <w:rsid w:val="001A77B7"/>
    <w:rsid w:val="001B4576"/>
    <w:rsid w:val="001B5EE1"/>
    <w:rsid w:val="001B6BBF"/>
    <w:rsid w:val="001C0363"/>
    <w:rsid w:val="001C3017"/>
    <w:rsid w:val="001C3271"/>
    <w:rsid w:val="001C3F62"/>
    <w:rsid w:val="001E1133"/>
    <w:rsid w:val="001E3F8B"/>
    <w:rsid w:val="001F19F2"/>
    <w:rsid w:val="001F1E24"/>
    <w:rsid w:val="001F2C85"/>
    <w:rsid w:val="001F4613"/>
    <w:rsid w:val="001F465E"/>
    <w:rsid w:val="001F51E6"/>
    <w:rsid w:val="002072DC"/>
    <w:rsid w:val="00214AF3"/>
    <w:rsid w:val="00217191"/>
    <w:rsid w:val="00217518"/>
    <w:rsid w:val="00220615"/>
    <w:rsid w:val="0022736C"/>
    <w:rsid w:val="002408E6"/>
    <w:rsid w:val="00246365"/>
    <w:rsid w:val="002544A6"/>
    <w:rsid w:val="002645AC"/>
    <w:rsid w:val="0027232A"/>
    <w:rsid w:val="002770AE"/>
    <w:rsid w:val="00283B90"/>
    <w:rsid w:val="00290A76"/>
    <w:rsid w:val="0029146B"/>
    <w:rsid w:val="002914A2"/>
    <w:rsid w:val="0029228E"/>
    <w:rsid w:val="002A2D11"/>
    <w:rsid w:val="002A350B"/>
    <w:rsid w:val="002A39F0"/>
    <w:rsid w:val="002A4C88"/>
    <w:rsid w:val="002A65B6"/>
    <w:rsid w:val="002B0F3A"/>
    <w:rsid w:val="002B28FB"/>
    <w:rsid w:val="002B2D8D"/>
    <w:rsid w:val="002B48C5"/>
    <w:rsid w:val="002C6983"/>
    <w:rsid w:val="002D04D7"/>
    <w:rsid w:val="002D0D86"/>
    <w:rsid w:val="002D2A6F"/>
    <w:rsid w:val="002D3789"/>
    <w:rsid w:val="002D608D"/>
    <w:rsid w:val="002E2D26"/>
    <w:rsid w:val="002F0243"/>
    <w:rsid w:val="002F383C"/>
    <w:rsid w:val="00303AAA"/>
    <w:rsid w:val="003059E1"/>
    <w:rsid w:val="0031162E"/>
    <w:rsid w:val="0031565B"/>
    <w:rsid w:val="0031757D"/>
    <w:rsid w:val="00330118"/>
    <w:rsid w:val="0033599D"/>
    <w:rsid w:val="003446CD"/>
    <w:rsid w:val="00346BAF"/>
    <w:rsid w:val="00347F4C"/>
    <w:rsid w:val="00351E5A"/>
    <w:rsid w:val="00352E13"/>
    <w:rsid w:val="00383177"/>
    <w:rsid w:val="00384E56"/>
    <w:rsid w:val="003865C1"/>
    <w:rsid w:val="003908F2"/>
    <w:rsid w:val="003A1BD0"/>
    <w:rsid w:val="003A7575"/>
    <w:rsid w:val="003B33C6"/>
    <w:rsid w:val="003B4A0B"/>
    <w:rsid w:val="003C1DF4"/>
    <w:rsid w:val="003C3EA9"/>
    <w:rsid w:val="003C7155"/>
    <w:rsid w:val="003D52FE"/>
    <w:rsid w:val="003D5808"/>
    <w:rsid w:val="003E1D7F"/>
    <w:rsid w:val="003E603F"/>
    <w:rsid w:val="003F24FC"/>
    <w:rsid w:val="00401A78"/>
    <w:rsid w:val="00402668"/>
    <w:rsid w:val="00407FBC"/>
    <w:rsid w:val="0041486D"/>
    <w:rsid w:val="00414BB7"/>
    <w:rsid w:val="00414C8F"/>
    <w:rsid w:val="00416C16"/>
    <w:rsid w:val="004172F2"/>
    <w:rsid w:val="0042729F"/>
    <w:rsid w:val="00435E55"/>
    <w:rsid w:val="00436B7E"/>
    <w:rsid w:val="00440282"/>
    <w:rsid w:val="00450F1A"/>
    <w:rsid w:val="004540D0"/>
    <w:rsid w:val="004638F7"/>
    <w:rsid w:val="00463E3A"/>
    <w:rsid w:val="00472431"/>
    <w:rsid w:val="00482D0E"/>
    <w:rsid w:val="00482E8F"/>
    <w:rsid w:val="0049338B"/>
    <w:rsid w:val="0049411B"/>
    <w:rsid w:val="004B1B23"/>
    <w:rsid w:val="004C24CF"/>
    <w:rsid w:val="004C3A5C"/>
    <w:rsid w:val="004D0FF6"/>
    <w:rsid w:val="004E664D"/>
    <w:rsid w:val="004E6D5E"/>
    <w:rsid w:val="004E7ABF"/>
    <w:rsid w:val="004F057F"/>
    <w:rsid w:val="004F1BE6"/>
    <w:rsid w:val="004F3C05"/>
    <w:rsid w:val="004F53B9"/>
    <w:rsid w:val="0050337B"/>
    <w:rsid w:val="00505CBB"/>
    <w:rsid w:val="00506CBE"/>
    <w:rsid w:val="005103A5"/>
    <w:rsid w:val="00513284"/>
    <w:rsid w:val="00516966"/>
    <w:rsid w:val="00517676"/>
    <w:rsid w:val="00517F5D"/>
    <w:rsid w:val="00530937"/>
    <w:rsid w:val="00533DF1"/>
    <w:rsid w:val="00535AE6"/>
    <w:rsid w:val="00536AD5"/>
    <w:rsid w:val="00542390"/>
    <w:rsid w:val="00542920"/>
    <w:rsid w:val="00543BB1"/>
    <w:rsid w:val="00547CC1"/>
    <w:rsid w:val="00547EC9"/>
    <w:rsid w:val="00547F94"/>
    <w:rsid w:val="00550256"/>
    <w:rsid w:val="00553000"/>
    <w:rsid w:val="00557758"/>
    <w:rsid w:val="00560711"/>
    <w:rsid w:val="00563540"/>
    <w:rsid w:val="00574D2F"/>
    <w:rsid w:val="00580488"/>
    <w:rsid w:val="005879F9"/>
    <w:rsid w:val="00587B80"/>
    <w:rsid w:val="00594670"/>
    <w:rsid w:val="0059765D"/>
    <w:rsid w:val="005978B1"/>
    <w:rsid w:val="005A4CD0"/>
    <w:rsid w:val="005A5903"/>
    <w:rsid w:val="005A5DA8"/>
    <w:rsid w:val="005B3352"/>
    <w:rsid w:val="005B6B37"/>
    <w:rsid w:val="005C0A6C"/>
    <w:rsid w:val="005C7931"/>
    <w:rsid w:val="005D218F"/>
    <w:rsid w:val="005D48BA"/>
    <w:rsid w:val="005D666E"/>
    <w:rsid w:val="005E2868"/>
    <w:rsid w:val="005E79F0"/>
    <w:rsid w:val="005F6FF9"/>
    <w:rsid w:val="00603504"/>
    <w:rsid w:val="0060426E"/>
    <w:rsid w:val="006043F7"/>
    <w:rsid w:val="00605C75"/>
    <w:rsid w:val="006131B7"/>
    <w:rsid w:val="00615C4B"/>
    <w:rsid w:val="00621F8D"/>
    <w:rsid w:val="00623899"/>
    <w:rsid w:val="006427D1"/>
    <w:rsid w:val="006442BE"/>
    <w:rsid w:val="0064599F"/>
    <w:rsid w:val="00651476"/>
    <w:rsid w:val="00654949"/>
    <w:rsid w:val="00655098"/>
    <w:rsid w:val="0065627E"/>
    <w:rsid w:val="00656B9E"/>
    <w:rsid w:val="006611BB"/>
    <w:rsid w:val="00661955"/>
    <w:rsid w:val="00663119"/>
    <w:rsid w:val="00664832"/>
    <w:rsid w:val="00667621"/>
    <w:rsid w:val="00682BC6"/>
    <w:rsid w:val="00685A9D"/>
    <w:rsid w:val="00686864"/>
    <w:rsid w:val="00694468"/>
    <w:rsid w:val="00695C23"/>
    <w:rsid w:val="006A44AA"/>
    <w:rsid w:val="006A4F3A"/>
    <w:rsid w:val="006B2A40"/>
    <w:rsid w:val="006B33B8"/>
    <w:rsid w:val="006B5859"/>
    <w:rsid w:val="006C2826"/>
    <w:rsid w:val="006D48B3"/>
    <w:rsid w:val="006D53FC"/>
    <w:rsid w:val="006D5515"/>
    <w:rsid w:val="006E4BAD"/>
    <w:rsid w:val="006E52CE"/>
    <w:rsid w:val="006F2AE1"/>
    <w:rsid w:val="006F682C"/>
    <w:rsid w:val="006F6F57"/>
    <w:rsid w:val="006F75E1"/>
    <w:rsid w:val="00710C2A"/>
    <w:rsid w:val="0071345B"/>
    <w:rsid w:val="00714A11"/>
    <w:rsid w:val="0071577C"/>
    <w:rsid w:val="00721598"/>
    <w:rsid w:val="00724E07"/>
    <w:rsid w:val="00727123"/>
    <w:rsid w:val="00731084"/>
    <w:rsid w:val="007374FD"/>
    <w:rsid w:val="00746935"/>
    <w:rsid w:val="00750C24"/>
    <w:rsid w:val="00753CAE"/>
    <w:rsid w:val="0076065C"/>
    <w:rsid w:val="00765FE3"/>
    <w:rsid w:val="00766BB7"/>
    <w:rsid w:val="007676FE"/>
    <w:rsid w:val="00772210"/>
    <w:rsid w:val="007733FB"/>
    <w:rsid w:val="00776A7B"/>
    <w:rsid w:val="00776FDD"/>
    <w:rsid w:val="00780F13"/>
    <w:rsid w:val="0078287D"/>
    <w:rsid w:val="007843B0"/>
    <w:rsid w:val="00786266"/>
    <w:rsid w:val="0079035F"/>
    <w:rsid w:val="00790D61"/>
    <w:rsid w:val="00793BCA"/>
    <w:rsid w:val="00793EB9"/>
    <w:rsid w:val="0079721B"/>
    <w:rsid w:val="007A089E"/>
    <w:rsid w:val="007A6966"/>
    <w:rsid w:val="007A721A"/>
    <w:rsid w:val="007B4A88"/>
    <w:rsid w:val="007B65BE"/>
    <w:rsid w:val="007B739F"/>
    <w:rsid w:val="007C3D22"/>
    <w:rsid w:val="007C4612"/>
    <w:rsid w:val="007E020E"/>
    <w:rsid w:val="007E1301"/>
    <w:rsid w:val="007E2CCD"/>
    <w:rsid w:val="007E795C"/>
    <w:rsid w:val="007F2474"/>
    <w:rsid w:val="00802541"/>
    <w:rsid w:val="00803DAF"/>
    <w:rsid w:val="00805960"/>
    <w:rsid w:val="008125AC"/>
    <w:rsid w:val="00821C2F"/>
    <w:rsid w:val="008226F3"/>
    <w:rsid w:val="00826A13"/>
    <w:rsid w:val="00831AF5"/>
    <w:rsid w:val="00833936"/>
    <w:rsid w:val="00833C95"/>
    <w:rsid w:val="008407C1"/>
    <w:rsid w:val="0084398B"/>
    <w:rsid w:val="00852F55"/>
    <w:rsid w:val="00856467"/>
    <w:rsid w:val="0085693A"/>
    <w:rsid w:val="008606D6"/>
    <w:rsid w:val="008634B1"/>
    <w:rsid w:val="008638F0"/>
    <w:rsid w:val="00863E29"/>
    <w:rsid w:val="00864EA6"/>
    <w:rsid w:val="008650FD"/>
    <w:rsid w:val="00876B19"/>
    <w:rsid w:val="00882F94"/>
    <w:rsid w:val="00886A5A"/>
    <w:rsid w:val="00892DCE"/>
    <w:rsid w:val="00895A08"/>
    <w:rsid w:val="008B25C2"/>
    <w:rsid w:val="008B5061"/>
    <w:rsid w:val="008C3C4D"/>
    <w:rsid w:val="008C4607"/>
    <w:rsid w:val="008D3D33"/>
    <w:rsid w:val="008E1270"/>
    <w:rsid w:val="008E2918"/>
    <w:rsid w:val="008E308C"/>
    <w:rsid w:val="008E4AD9"/>
    <w:rsid w:val="008F257B"/>
    <w:rsid w:val="008F514F"/>
    <w:rsid w:val="008F73AB"/>
    <w:rsid w:val="0090340A"/>
    <w:rsid w:val="00903DB2"/>
    <w:rsid w:val="00907D4E"/>
    <w:rsid w:val="00911736"/>
    <w:rsid w:val="009123CE"/>
    <w:rsid w:val="0092217D"/>
    <w:rsid w:val="009233F7"/>
    <w:rsid w:val="00925F8A"/>
    <w:rsid w:val="009261B7"/>
    <w:rsid w:val="00931C15"/>
    <w:rsid w:val="009326CB"/>
    <w:rsid w:val="00932FCD"/>
    <w:rsid w:val="00937CC1"/>
    <w:rsid w:val="00943476"/>
    <w:rsid w:val="00950E0C"/>
    <w:rsid w:val="00951E6A"/>
    <w:rsid w:val="00952E97"/>
    <w:rsid w:val="00962CBA"/>
    <w:rsid w:val="00962DD6"/>
    <w:rsid w:val="0096739B"/>
    <w:rsid w:val="00972AD8"/>
    <w:rsid w:val="009758C7"/>
    <w:rsid w:val="009804F2"/>
    <w:rsid w:val="00991706"/>
    <w:rsid w:val="009939AE"/>
    <w:rsid w:val="00994F7D"/>
    <w:rsid w:val="009A31C9"/>
    <w:rsid w:val="009A33A1"/>
    <w:rsid w:val="009A688D"/>
    <w:rsid w:val="009A7B22"/>
    <w:rsid w:val="009B4D9A"/>
    <w:rsid w:val="009B52EA"/>
    <w:rsid w:val="009C6BD2"/>
    <w:rsid w:val="009C7131"/>
    <w:rsid w:val="009C71AA"/>
    <w:rsid w:val="009D0479"/>
    <w:rsid w:val="009D107E"/>
    <w:rsid w:val="009D18FD"/>
    <w:rsid w:val="009D1BD0"/>
    <w:rsid w:val="009D2AA2"/>
    <w:rsid w:val="009E4A15"/>
    <w:rsid w:val="009E6E8B"/>
    <w:rsid w:val="009F010D"/>
    <w:rsid w:val="00A04F38"/>
    <w:rsid w:val="00A06C39"/>
    <w:rsid w:val="00A07A0C"/>
    <w:rsid w:val="00A07B78"/>
    <w:rsid w:val="00A11A0F"/>
    <w:rsid w:val="00A20D66"/>
    <w:rsid w:val="00A37E02"/>
    <w:rsid w:val="00A476F7"/>
    <w:rsid w:val="00A52ADF"/>
    <w:rsid w:val="00A52B4B"/>
    <w:rsid w:val="00A54F6A"/>
    <w:rsid w:val="00A60349"/>
    <w:rsid w:val="00A620C2"/>
    <w:rsid w:val="00A62A34"/>
    <w:rsid w:val="00A637DC"/>
    <w:rsid w:val="00A67BE5"/>
    <w:rsid w:val="00A745DD"/>
    <w:rsid w:val="00A751EF"/>
    <w:rsid w:val="00A76BE6"/>
    <w:rsid w:val="00A76D22"/>
    <w:rsid w:val="00A8353F"/>
    <w:rsid w:val="00A84C36"/>
    <w:rsid w:val="00A853CF"/>
    <w:rsid w:val="00A900CC"/>
    <w:rsid w:val="00A9187C"/>
    <w:rsid w:val="00AA22CE"/>
    <w:rsid w:val="00AB0289"/>
    <w:rsid w:val="00AB2D5E"/>
    <w:rsid w:val="00AC2105"/>
    <w:rsid w:val="00AD0E0B"/>
    <w:rsid w:val="00AD7907"/>
    <w:rsid w:val="00AE0097"/>
    <w:rsid w:val="00AE059F"/>
    <w:rsid w:val="00AE2437"/>
    <w:rsid w:val="00AE4D81"/>
    <w:rsid w:val="00AF5BED"/>
    <w:rsid w:val="00AF78CA"/>
    <w:rsid w:val="00B12890"/>
    <w:rsid w:val="00B2623E"/>
    <w:rsid w:val="00B42858"/>
    <w:rsid w:val="00B44C59"/>
    <w:rsid w:val="00B530F3"/>
    <w:rsid w:val="00B532CD"/>
    <w:rsid w:val="00B54016"/>
    <w:rsid w:val="00B607A3"/>
    <w:rsid w:val="00B72996"/>
    <w:rsid w:val="00B8105C"/>
    <w:rsid w:val="00B81311"/>
    <w:rsid w:val="00B918C2"/>
    <w:rsid w:val="00B97E95"/>
    <w:rsid w:val="00BA5097"/>
    <w:rsid w:val="00BB0B8A"/>
    <w:rsid w:val="00BB0E42"/>
    <w:rsid w:val="00BB53CE"/>
    <w:rsid w:val="00BB7472"/>
    <w:rsid w:val="00BB7976"/>
    <w:rsid w:val="00BC093E"/>
    <w:rsid w:val="00BC1DB1"/>
    <w:rsid w:val="00BC452B"/>
    <w:rsid w:val="00BD4F4A"/>
    <w:rsid w:val="00BE056D"/>
    <w:rsid w:val="00BE14A3"/>
    <w:rsid w:val="00BE17CD"/>
    <w:rsid w:val="00BE3A15"/>
    <w:rsid w:val="00BF2B31"/>
    <w:rsid w:val="00BF48BF"/>
    <w:rsid w:val="00BF7080"/>
    <w:rsid w:val="00C06860"/>
    <w:rsid w:val="00C140A1"/>
    <w:rsid w:val="00C14A0F"/>
    <w:rsid w:val="00C21FB9"/>
    <w:rsid w:val="00C33590"/>
    <w:rsid w:val="00C34793"/>
    <w:rsid w:val="00C41CA7"/>
    <w:rsid w:val="00C47332"/>
    <w:rsid w:val="00C50227"/>
    <w:rsid w:val="00C52269"/>
    <w:rsid w:val="00C543B1"/>
    <w:rsid w:val="00C5549A"/>
    <w:rsid w:val="00C6630E"/>
    <w:rsid w:val="00C749CD"/>
    <w:rsid w:val="00C760D6"/>
    <w:rsid w:val="00C822D1"/>
    <w:rsid w:val="00CA0B92"/>
    <w:rsid w:val="00CA2961"/>
    <w:rsid w:val="00CA2BBE"/>
    <w:rsid w:val="00CB006D"/>
    <w:rsid w:val="00CB0568"/>
    <w:rsid w:val="00CB2590"/>
    <w:rsid w:val="00CB55C2"/>
    <w:rsid w:val="00CB6236"/>
    <w:rsid w:val="00CB7291"/>
    <w:rsid w:val="00CC00E1"/>
    <w:rsid w:val="00CC389E"/>
    <w:rsid w:val="00CC78CF"/>
    <w:rsid w:val="00CD4A03"/>
    <w:rsid w:val="00CD5463"/>
    <w:rsid w:val="00CD60B2"/>
    <w:rsid w:val="00CF4F01"/>
    <w:rsid w:val="00CF6135"/>
    <w:rsid w:val="00CF79DA"/>
    <w:rsid w:val="00D10926"/>
    <w:rsid w:val="00D163C4"/>
    <w:rsid w:val="00D2293D"/>
    <w:rsid w:val="00D22CEF"/>
    <w:rsid w:val="00D23324"/>
    <w:rsid w:val="00D26EB7"/>
    <w:rsid w:val="00D32446"/>
    <w:rsid w:val="00D33C26"/>
    <w:rsid w:val="00D33CFE"/>
    <w:rsid w:val="00D463DE"/>
    <w:rsid w:val="00D464A8"/>
    <w:rsid w:val="00D56B78"/>
    <w:rsid w:val="00D56FFE"/>
    <w:rsid w:val="00D63D3E"/>
    <w:rsid w:val="00D63D9F"/>
    <w:rsid w:val="00D646B1"/>
    <w:rsid w:val="00D64EA6"/>
    <w:rsid w:val="00D671C4"/>
    <w:rsid w:val="00D77843"/>
    <w:rsid w:val="00D839CE"/>
    <w:rsid w:val="00D91545"/>
    <w:rsid w:val="00D93BCD"/>
    <w:rsid w:val="00D95BA1"/>
    <w:rsid w:val="00DB3E52"/>
    <w:rsid w:val="00DB55BB"/>
    <w:rsid w:val="00DB5796"/>
    <w:rsid w:val="00DC2408"/>
    <w:rsid w:val="00DD056F"/>
    <w:rsid w:val="00DD2A4A"/>
    <w:rsid w:val="00DE0B0A"/>
    <w:rsid w:val="00DE1480"/>
    <w:rsid w:val="00DF45CA"/>
    <w:rsid w:val="00E014C1"/>
    <w:rsid w:val="00E04A3F"/>
    <w:rsid w:val="00E05F28"/>
    <w:rsid w:val="00E1127F"/>
    <w:rsid w:val="00E1293B"/>
    <w:rsid w:val="00E16BAA"/>
    <w:rsid w:val="00E17F4A"/>
    <w:rsid w:val="00E20DC9"/>
    <w:rsid w:val="00E24F05"/>
    <w:rsid w:val="00E31393"/>
    <w:rsid w:val="00E3212E"/>
    <w:rsid w:val="00E4187F"/>
    <w:rsid w:val="00E43597"/>
    <w:rsid w:val="00E44A85"/>
    <w:rsid w:val="00E44F22"/>
    <w:rsid w:val="00E537B6"/>
    <w:rsid w:val="00E557C4"/>
    <w:rsid w:val="00E5687D"/>
    <w:rsid w:val="00E57263"/>
    <w:rsid w:val="00E64621"/>
    <w:rsid w:val="00E665F0"/>
    <w:rsid w:val="00E82214"/>
    <w:rsid w:val="00E8466A"/>
    <w:rsid w:val="00E915B9"/>
    <w:rsid w:val="00E92454"/>
    <w:rsid w:val="00EA0A99"/>
    <w:rsid w:val="00EA178F"/>
    <w:rsid w:val="00EA4EA8"/>
    <w:rsid w:val="00EA5FAE"/>
    <w:rsid w:val="00EB12AB"/>
    <w:rsid w:val="00EB1305"/>
    <w:rsid w:val="00EB1525"/>
    <w:rsid w:val="00EB2E88"/>
    <w:rsid w:val="00ED0CD9"/>
    <w:rsid w:val="00ED63F2"/>
    <w:rsid w:val="00ED7545"/>
    <w:rsid w:val="00EE14AB"/>
    <w:rsid w:val="00EF79A8"/>
    <w:rsid w:val="00F12121"/>
    <w:rsid w:val="00F12E13"/>
    <w:rsid w:val="00F20BC9"/>
    <w:rsid w:val="00F230CB"/>
    <w:rsid w:val="00F23D1D"/>
    <w:rsid w:val="00F3083E"/>
    <w:rsid w:val="00F35D30"/>
    <w:rsid w:val="00F43165"/>
    <w:rsid w:val="00F51EEF"/>
    <w:rsid w:val="00F520DB"/>
    <w:rsid w:val="00F55FBC"/>
    <w:rsid w:val="00F61AE0"/>
    <w:rsid w:val="00F65343"/>
    <w:rsid w:val="00F70174"/>
    <w:rsid w:val="00F7305F"/>
    <w:rsid w:val="00F76371"/>
    <w:rsid w:val="00F8100E"/>
    <w:rsid w:val="00F824E2"/>
    <w:rsid w:val="00F82A25"/>
    <w:rsid w:val="00F90230"/>
    <w:rsid w:val="00F90D59"/>
    <w:rsid w:val="00F913BA"/>
    <w:rsid w:val="00F94FAF"/>
    <w:rsid w:val="00F964C9"/>
    <w:rsid w:val="00FA712D"/>
    <w:rsid w:val="00FB07CC"/>
    <w:rsid w:val="00FB6E0E"/>
    <w:rsid w:val="00FC1182"/>
    <w:rsid w:val="00FC3D77"/>
    <w:rsid w:val="00FD393D"/>
    <w:rsid w:val="00FD698C"/>
    <w:rsid w:val="00FD6A9A"/>
    <w:rsid w:val="00FD7C11"/>
    <w:rsid w:val="00FD7C95"/>
    <w:rsid w:val="00FE2738"/>
    <w:rsid w:val="00FE7E3D"/>
    <w:rsid w:val="00FF46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0423B"/>
  <w15:docId w15:val="{6E9DC0F3-CF87-4DCE-92A9-D38A1D9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33FB"/>
    <w:rPr>
      <w:rFonts w:eastAsia="Times New Roman"/>
      <w:lang w:eastAsia="en-US"/>
    </w:rPr>
  </w:style>
  <w:style w:type="paragraph" w:styleId="Nadpis1">
    <w:name w:val="heading 1"/>
    <w:basedOn w:val="Normlny"/>
    <w:next w:val="Normlny"/>
    <w:qFormat/>
    <w:rsid w:val="00710C2A"/>
    <w:pPr>
      <w:keepNext/>
      <w:spacing w:before="240" w:after="60"/>
      <w:outlineLvl w:val="0"/>
    </w:pPr>
    <w:rPr>
      <w:rFonts w:ascii="Arial" w:hAnsi="Arial"/>
      <w:b/>
      <w:kern w:val="28"/>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7733FB"/>
    <w:pPr>
      <w:tabs>
        <w:tab w:val="center" w:pos="4153"/>
        <w:tab w:val="right" w:pos="8306"/>
      </w:tabs>
    </w:pPr>
  </w:style>
  <w:style w:type="table" w:styleId="Mriekatabuky">
    <w:name w:val="Table Grid"/>
    <w:basedOn w:val="Normlnatabuka"/>
    <w:rsid w:val="007733FB"/>
    <w:rPr>
      <w:rFonts w:eastAsia="Times New Roman"/>
      <w:lang w:val="cs-CZ"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71577C"/>
    <w:rPr>
      <w:rFonts w:ascii="Tahoma" w:hAnsi="Tahoma" w:cs="Tahoma"/>
      <w:sz w:val="16"/>
      <w:szCs w:val="16"/>
    </w:rPr>
  </w:style>
  <w:style w:type="character" w:styleId="Odkaznakomentr">
    <w:name w:val="annotation reference"/>
    <w:semiHidden/>
    <w:rsid w:val="0071577C"/>
    <w:rPr>
      <w:sz w:val="16"/>
      <w:szCs w:val="16"/>
    </w:rPr>
  </w:style>
  <w:style w:type="paragraph" w:styleId="Textkomentra">
    <w:name w:val="annotation text"/>
    <w:basedOn w:val="Normlny"/>
    <w:semiHidden/>
    <w:rsid w:val="0071577C"/>
  </w:style>
  <w:style w:type="paragraph" w:styleId="Predmetkomentra">
    <w:name w:val="annotation subject"/>
    <w:basedOn w:val="Textkomentra"/>
    <w:next w:val="Textkomentra"/>
    <w:semiHidden/>
    <w:rsid w:val="0071577C"/>
    <w:rPr>
      <w:b/>
      <w:bCs/>
    </w:rPr>
  </w:style>
  <w:style w:type="character" w:customStyle="1" w:styleId="hps">
    <w:name w:val="hps"/>
    <w:basedOn w:val="Predvolenpsmoodseku"/>
    <w:rsid w:val="008F257B"/>
  </w:style>
  <w:style w:type="character" w:customStyle="1" w:styleId="atn">
    <w:name w:val="atn"/>
    <w:basedOn w:val="Predvolenpsmoodseku"/>
    <w:rsid w:val="008F257B"/>
  </w:style>
  <w:style w:type="character" w:customStyle="1" w:styleId="gt-icon-text1">
    <w:name w:val="gt-icon-text1"/>
    <w:basedOn w:val="Predvolenpsmoodseku"/>
    <w:rsid w:val="008F257B"/>
  </w:style>
  <w:style w:type="paragraph" w:styleId="Nzov">
    <w:name w:val="Title"/>
    <w:basedOn w:val="Normlny"/>
    <w:next w:val="Normlny"/>
    <w:link w:val="NzovChar"/>
    <w:qFormat/>
    <w:rsid w:val="001A5D69"/>
    <w:pPr>
      <w:spacing w:before="240" w:after="60"/>
      <w:jc w:val="center"/>
      <w:outlineLvl w:val="0"/>
    </w:pPr>
    <w:rPr>
      <w:rFonts w:ascii="Cambria" w:hAnsi="Cambria"/>
      <w:b/>
      <w:bCs/>
      <w:kern w:val="28"/>
      <w:sz w:val="32"/>
      <w:szCs w:val="32"/>
    </w:rPr>
  </w:style>
  <w:style w:type="character" w:customStyle="1" w:styleId="NzovChar">
    <w:name w:val="Názov Char"/>
    <w:link w:val="Nzov"/>
    <w:rsid w:val="001A5D69"/>
    <w:rPr>
      <w:rFonts w:ascii="Cambria" w:eastAsia="Times New Roman" w:hAnsi="Cambria" w:cs="Times New Roman"/>
      <w:b/>
      <w:bCs/>
      <w:kern w:val="28"/>
      <w:sz w:val="32"/>
      <w:szCs w:val="32"/>
      <w:lang w:val="en-GB" w:eastAsia="en-US"/>
    </w:rPr>
  </w:style>
  <w:style w:type="character" w:styleId="Zvraznenie">
    <w:name w:val="Emphasis"/>
    <w:basedOn w:val="Predvolenpsmoodseku"/>
    <w:qFormat/>
    <w:rsid w:val="00B54016"/>
    <w:rPr>
      <w:i/>
      <w:iCs/>
    </w:rPr>
  </w:style>
  <w:style w:type="table" w:styleId="Obyajntabuka4">
    <w:name w:val="Plain Table 4"/>
    <w:basedOn w:val="Normlnatabuka"/>
    <w:uiPriority w:val="44"/>
    <w:rsid w:val="009B52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634478">
      <w:bodyDiv w:val="1"/>
      <w:marLeft w:val="0"/>
      <w:marRight w:val="0"/>
      <w:marTop w:val="0"/>
      <w:marBottom w:val="0"/>
      <w:divBdr>
        <w:top w:val="none" w:sz="0" w:space="0" w:color="auto"/>
        <w:left w:val="none" w:sz="0" w:space="0" w:color="auto"/>
        <w:bottom w:val="none" w:sz="0" w:space="0" w:color="auto"/>
        <w:right w:val="none" w:sz="0" w:space="0" w:color="auto"/>
      </w:divBdr>
    </w:div>
    <w:div w:id="291441234">
      <w:bodyDiv w:val="1"/>
      <w:marLeft w:val="0"/>
      <w:marRight w:val="0"/>
      <w:marTop w:val="0"/>
      <w:marBottom w:val="0"/>
      <w:divBdr>
        <w:top w:val="none" w:sz="0" w:space="0" w:color="auto"/>
        <w:left w:val="none" w:sz="0" w:space="0" w:color="auto"/>
        <w:bottom w:val="none" w:sz="0" w:space="0" w:color="auto"/>
        <w:right w:val="none" w:sz="0" w:space="0" w:color="auto"/>
      </w:divBdr>
    </w:div>
    <w:div w:id="320432642">
      <w:bodyDiv w:val="1"/>
      <w:marLeft w:val="0"/>
      <w:marRight w:val="0"/>
      <w:marTop w:val="0"/>
      <w:marBottom w:val="0"/>
      <w:divBdr>
        <w:top w:val="none" w:sz="0" w:space="0" w:color="auto"/>
        <w:left w:val="none" w:sz="0" w:space="0" w:color="auto"/>
        <w:bottom w:val="none" w:sz="0" w:space="0" w:color="auto"/>
        <w:right w:val="none" w:sz="0" w:space="0" w:color="auto"/>
      </w:divBdr>
      <w:divsChild>
        <w:div w:id="1315910990">
          <w:marLeft w:val="0"/>
          <w:marRight w:val="0"/>
          <w:marTop w:val="0"/>
          <w:marBottom w:val="0"/>
          <w:divBdr>
            <w:top w:val="none" w:sz="0" w:space="0" w:color="auto"/>
            <w:left w:val="none" w:sz="0" w:space="0" w:color="auto"/>
            <w:bottom w:val="none" w:sz="0" w:space="0" w:color="auto"/>
            <w:right w:val="none" w:sz="0" w:space="0" w:color="auto"/>
          </w:divBdr>
          <w:divsChild>
            <w:div w:id="1599363661">
              <w:marLeft w:val="0"/>
              <w:marRight w:val="0"/>
              <w:marTop w:val="0"/>
              <w:marBottom w:val="0"/>
              <w:divBdr>
                <w:top w:val="none" w:sz="0" w:space="0" w:color="auto"/>
                <w:left w:val="none" w:sz="0" w:space="0" w:color="auto"/>
                <w:bottom w:val="none" w:sz="0" w:space="0" w:color="auto"/>
                <w:right w:val="none" w:sz="0" w:space="0" w:color="auto"/>
              </w:divBdr>
              <w:divsChild>
                <w:div w:id="1793749773">
                  <w:marLeft w:val="0"/>
                  <w:marRight w:val="0"/>
                  <w:marTop w:val="0"/>
                  <w:marBottom w:val="0"/>
                  <w:divBdr>
                    <w:top w:val="none" w:sz="0" w:space="0" w:color="auto"/>
                    <w:left w:val="none" w:sz="0" w:space="0" w:color="auto"/>
                    <w:bottom w:val="none" w:sz="0" w:space="0" w:color="auto"/>
                    <w:right w:val="none" w:sz="0" w:space="0" w:color="auto"/>
                  </w:divBdr>
                  <w:divsChild>
                    <w:div w:id="1739934938">
                      <w:marLeft w:val="0"/>
                      <w:marRight w:val="0"/>
                      <w:marTop w:val="0"/>
                      <w:marBottom w:val="0"/>
                      <w:divBdr>
                        <w:top w:val="none" w:sz="0" w:space="0" w:color="auto"/>
                        <w:left w:val="none" w:sz="0" w:space="0" w:color="auto"/>
                        <w:bottom w:val="none" w:sz="0" w:space="0" w:color="auto"/>
                        <w:right w:val="none" w:sz="0" w:space="0" w:color="auto"/>
                      </w:divBdr>
                      <w:divsChild>
                        <w:div w:id="1984119061">
                          <w:marLeft w:val="0"/>
                          <w:marRight w:val="0"/>
                          <w:marTop w:val="0"/>
                          <w:marBottom w:val="0"/>
                          <w:divBdr>
                            <w:top w:val="none" w:sz="0" w:space="0" w:color="auto"/>
                            <w:left w:val="none" w:sz="0" w:space="0" w:color="auto"/>
                            <w:bottom w:val="none" w:sz="0" w:space="0" w:color="auto"/>
                            <w:right w:val="none" w:sz="0" w:space="0" w:color="auto"/>
                          </w:divBdr>
                          <w:divsChild>
                            <w:div w:id="1301618073">
                              <w:marLeft w:val="0"/>
                              <w:marRight w:val="0"/>
                              <w:marTop w:val="240"/>
                              <w:marBottom w:val="0"/>
                              <w:divBdr>
                                <w:top w:val="none" w:sz="0" w:space="0" w:color="auto"/>
                                <w:left w:val="none" w:sz="0" w:space="0" w:color="auto"/>
                                <w:bottom w:val="none" w:sz="0" w:space="0" w:color="auto"/>
                                <w:right w:val="none" w:sz="0" w:space="0" w:color="auto"/>
                              </w:divBdr>
                              <w:divsChild>
                                <w:div w:id="1019966073">
                                  <w:marLeft w:val="0"/>
                                  <w:marRight w:val="240"/>
                                  <w:marTop w:val="0"/>
                                  <w:marBottom w:val="0"/>
                                  <w:divBdr>
                                    <w:top w:val="none" w:sz="0" w:space="0" w:color="auto"/>
                                    <w:left w:val="none" w:sz="0" w:space="0" w:color="auto"/>
                                    <w:bottom w:val="none" w:sz="0" w:space="0" w:color="auto"/>
                                    <w:right w:val="none" w:sz="0" w:space="0" w:color="auto"/>
                                  </w:divBdr>
                                </w:div>
                                <w:div w:id="1146513871">
                                  <w:marLeft w:val="0"/>
                                  <w:marRight w:val="240"/>
                                  <w:marTop w:val="0"/>
                                  <w:marBottom w:val="0"/>
                                  <w:divBdr>
                                    <w:top w:val="none" w:sz="0" w:space="0" w:color="auto"/>
                                    <w:left w:val="none" w:sz="0" w:space="0" w:color="auto"/>
                                    <w:bottom w:val="none" w:sz="0" w:space="0" w:color="auto"/>
                                    <w:right w:val="none" w:sz="0" w:space="0" w:color="auto"/>
                                  </w:divBdr>
                                </w:div>
                              </w:divsChild>
                            </w:div>
                            <w:div w:id="1333751590">
                              <w:marLeft w:val="0"/>
                              <w:marRight w:val="0"/>
                              <w:marTop w:val="0"/>
                              <w:marBottom w:val="0"/>
                              <w:divBdr>
                                <w:top w:val="none" w:sz="0" w:space="0" w:color="auto"/>
                                <w:left w:val="none" w:sz="0" w:space="0" w:color="auto"/>
                                <w:bottom w:val="none" w:sz="0" w:space="0" w:color="auto"/>
                                <w:right w:val="none" w:sz="0" w:space="0" w:color="auto"/>
                              </w:divBdr>
                              <w:divsChild>
                                <w:div w:id="10764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874501">
      <w:bodyDiv w:val="1"/>
      <w:marLeft w:val="0"/>
      <w:marRight w:val="0"/>
      <w:marTop w:val="0"/>
      <w:marBottom w:val="0"/>
      <w:divBdr>
        <w:top w:val="none" w:sz="0" w:space="0" w:color="auto"/>
        <w:left w:val="none" w:sz="0" w:space="0" w:color="auto"/>
        <w:bottom w:val="none" w:sz="0" w:space="0" w:color="auto"/>
        <w:right w:val="none" w:sz="0" w:space="0" w:color="auto"/>
      </w:divBdr>
    </w:div>
    <w:div w:id="1024288470">
      <w:bodyDiv w:val="1"/>
      <w:marLeft w:val="0"/>
      <w:marRight w:val="0"/>
      <w:marTop w:val="0"/>
      <w:marBottom w:val="0"/>
      <w:divBdr>
        <w:top w:val="none" w:sz="0" w:space="0" w:color="auto"/>
        <w:left w:val="none" w:sz="0" w:space="0" w:color="auto"/>
        <w:bottom w:val="none" w:sz="0" w:space="0" w:color="auto"/>
        <w:right w:val="none" w:sz="0" w:space="0" w:color="auto"/>
      </w:divBdr>
    </w:div>
    <w:div w:id="1189680035">
      <w:bodyDiv w:val="1"/>
      <w:marLeft w:val="0"/>
      <w:marRight w:val="0"/>
      <w:marTop w:val="0"/>
      <w:marBottom w:val="0"/>
      <w:divBdr>
        <w:top w:val="none" w:sz="0" w:space="0" w:color="auto"/>
        <w:left w:val="none" w:sz="0" w:space="0" w:color="auto"/>
        <w:bottom w:val="none" w:sz="0" w:space="0" w:color="auto"/>
        <w:right w:val="none" w:sz="0" w:space="0" w:color="auto"/>
      </w:divBdr>
    </w:div>
    <w:div w:id="13520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file:///\\eu.jllnet.com\SKShare$\Office\BRF\2019\Q2\2Q_2019_BRF_FINAL_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u.jllnet.com\SKShare$\Office\BRF\2019\Q2\2Q_2019_BRF_FINAL_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k-fs01\CIS\Business%20Projects\BRF\2019\Q3\3Q_2019_BRF_fin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pivotSource>
    <c:name>[2Q_2019_BRF_FINAL_FINAL.xlsx]Grafy!PivotTable11</c:name>
    <c:fmtId val="-1"/>
  </c:pivotSource>
  <c:chart>
    <c:autoTitleDeleted val="1"/>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dLbl>
          <c:idx val="0"/>
          <c:layout>
            <c:manualLayout>
              <c:x val="-6.5939400652384697E-2"/>
              <c:y val="8.83377423162130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6.86868756795673E-2"/>
              <c:y val="-4.416887115810654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5.494950054365394E-2"/>
              <c:y val="-6.8260982698891914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w="19050">
            <a:solidFill>
              <a:schemeClr val="lt1"/>
            </a:solidFill>
          </a:ln>
          <a:effectLst/>
        </c:spPr>
        <c:dLbl>
          <c:idx val="0"/>
          <c:layout>
            <c:manualLayout>
              <c:x val="6.86868756795673E-2"/>
              <c:y val="-4.416887115810654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dLbl>
          <c:idx val="0"/>
          <c:layout>
            <c:manualLayout>
              <c:x val="-6.5939400652384697E-2"/>
              <c:y val="8.83377423162130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dLbl>
          <c:idx val="0"/>
          <c:layout>
            <c:manualLayout>
              <c:x val="-5.494950054365394E-2"/>
              <c:y val="-6.8260982698891914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w="19050">
            <a:solidFill>
              <a:schemeClr val="lt1"/>
            </a:solidFill>
          </a:ln>
          <a:effectLst/>
        </c:spPr>
        <c:dLbl>
          <c:idx val="0"/>
          <c:layout>
            <c:manualLayout>
              <c:x val="6.86868756795673E-2"/>
              <c:y val="-4.416887115810654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w="19050">
            <a:solidFill>
              <a:schemeClr val="lt1"/>
            </a:solidFill>
          </a:ln>
          <a:effectLst/>
        </c:spPr>
        <c:dLbl>
          <c:idx val="0"/>
          <c:layout>
            <c:manualLayout>
              <c:x val="-6.5939400652384697E-2"/>
              <c:y val="8.83377423162130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w="19050">
            <a:solidFill>
              <a:schemeClr val="lt1"/>
            </a:solidFill>
          </a:ln>
          <a:effectLst/>
        </c:spPr>
        <c:dLbl>
          <c:idx val="0"/>
          <c:layout>
            <c:manualLayout>
              <c:x val="-5.494950054365394E-2"/>
              <c:y val="-6.8260982698891914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s>
    <c:plotArea>
      <c:layout/>
      <c:doughnutChart>
        <c:varyColors val="1"/>
        <c:ser>
          <c:idx val="0"/>
          <c:order val="0"/>
          <c:tx>
            <c:strRef>
              <c:f>Grafy!$H$24</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888-4D78-9865-CC1C3D2D093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888-4D78-9865-CC1C3D2D09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888-4D78-9865-CC1C3D2D0932}"/>
              </c:ext>
            </c:extLst>
          </c:dPt>
          <c:dLbls>
            <c:dLbl>
              <c:idx val="0"/>
              <c:layout>
                <c:manualLayout>
                  <c:x val="6.86868756795673E-2"/>
                  <c:y val="-4.416887115810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88-4D78-9865-CC1C3D2D0932}"/>
                </c:ext>
              </c:extLst>
            </c:dLbl>
            <c:dLbl>
              <c:idx val="1"/>
              <c:layout>
                <c:manualLayout>
                  <c:x val="-6.5939400652384697E-2"/>
                  <c:y val="8.833774231621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88-4D78-9865-CC1C3D2D0932}"/>
                </c:ext>
              </c:extLst>
            </c:dLbl>
            <c:dLbl>
              <c:idx val="2"/>
              <c:layout>
                <c:manualLayout>
                  <c:x val="-5.494950054365394E-2"/>
                  <c:y val="-6.82609826988919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88-4D78-9865-CC1C3D2D093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Grafy!$G$25:$G$28</c:f>
              <c:strCache>
                <c:ptCount val="3"/>
                <c:pt idx="0">
                  <c:v>CC</c:v>
                </c:pt>
                <c:pt idx="1">
                  <c:v>IC</c:v>
                </c:pt>
                <c:pt idx="2">
                  <c:v>OC</c:v>
                </c:pt>
              </c:strCache>
            </c:strRef>
          </c:cat>
          <c:val>
            <c:numRef>
              <c:f>Grafy!$H$25:$H$28</c:f>
              <c:numCache>
                <c:formatCode>0%</c:formatCode>
                <c:ptCount val="3"/>
                <c:pt idx="0">
                  <c:v>0.34244450551552774</c:v>
                </c:pt>
                <c:pt idx="1">
                  <c:v>0.41640859523314488</c:v>
                </c:pt>
                <c:pt idx="2">
                  <c:v>0.24114689925132726</c:v>
                </c:pt>
              </c:numCache>
            </c:numRef>
          </c:val>
          <c:extLst>
            <c:ext xmlns:c16="http://schemas.microsoft.com/office/drawing/2014/chart" uri="{C3380CC4-5D6E-409C-BE32-E72D297353CC}">
              <c16:uniqueId val="{00000006-0888-4D78-9865-CC1C3D2D0932}"/>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sk-SK"/>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pivotSource>
    <c:name>[2Q_2019_BRF_FINAL_FINAL.xlsx]Grafy!PivotTable10</c:name>
    <c:fmtId val="-1"/>
  </c:pivotSource>
  <c:chart>
    <c:autoTitleDeleted val="1"/>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dLbl>
          <c:idx val="0"/>
          <c:layout>
            <c:manualLayout>
              <c:x val="-2.4603160844329452E-2"/>
              <c:y val="-0.1004338568763857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8.0119506339771246E-2"/>
              <c:y val="-6.6905615292712065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6.6766255283142839E-2"/>
              <c:y val="8.6021505376344093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layout>
            <c:manualLayout>
              <c:x val="-8.3457819103928535E-2"/>
              <c:y val="-1.911589008363201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w="19050">
            <a:solidFill>
              <a:schemeClr val="lt1"/>
            </a:solidFill>
          </a:ln>
          <a:effectLst/>
        </c:spPr>
        <c:dLbl>
          <c:idx val="0"/>
          <c:layout>
            <c:manualLayout>
              <c:x val="-5.6751316990671416E-2"/>
              <c:y val="-7.6463560334528113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dLbl>
          <c:idx val="0"/>
          <c:layout>
            <c:manualLayout>
              <c:x val="8.0119506339771246E-2"/>
              <c:y val="-6.6905615292712065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w="19050">
            <a:solidFill>
              <a:schemeClr val="lt1"/>
            </a:solidFill>
          </a:ln>
          <a:effectLst/>
        </c:spPr>
        <c:dLbl>
          <c:idx val="0"/>
          <c:layout>
            <c:manualLayout>
              <c:x val="-6.6766255283142839E-2"/>
              <c:y val="8.6021505376344093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w="19050">
            <a:solidFill>
              <a:schemeClr val="lt1"/>
            </a:solidFill>
          </a:ln>
          <a:effectLst/>
        </c:spPr>
        <c:dLbl>
          <c:idx val="0"/>
          <c:layout>
            <c:manualLayout>
              <c:x val="-8.3457819103928535E-2"/>
              <c:y val="-1.911589008363201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w="19050">
            <a:solidFill>
              <a:schemeClr val="lt1"/>
            </a:solidFill>
          </a:ln>
          <a:effectLst/>
        </c:spPr>
        <c:dLbl>
          <c:idx val="0"/>
          <c:layout>
            <c:manualLayout>
              <c:x val="-5.6751316990671416E-2"/>
              <c:y val="-7.6463560334528113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w="19050">
            <a:solidFill>
              <a:schemeClr val="lt1"/>
            </a:solidFill>
          </a:ln>
          <a:effectLst/>
        </c:spPr>
        <c:dLbl>
          <c:idx val="0"/>
          <c:layout>
            <c:manualLayout>
              <c:x val="-2.4603160844329452E-2"/>
              <c:y val="-0.1004338568763857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dLbl>
          <c:idx val="0"/>
          <c:layout>
            <c:manualLayout>
              <c:x val="8.0119506339771246E-2"/>
              <c:y val="-6.6905615292712065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6.6766255283142839E-2"/>
              <c:y val="8.6021505376344093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8.3457819103928535E-2"/>
              <c:y val="-1.9115890083632018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dLbl>
          <c:idx val="0"/>
          <c:layout>
            <c:manualLayout>
              <c:x val="-5.6751316990671416E-2"/>
              <c:y val="-7.6463560334528113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2.4603160844329452E-2"/>
              <c:y val="-0.1004338568763857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extLst>
            <c:ext xmlns:c15="http://schemas.microsoft.com/office/drawing/2012/chart" uri="{CE6537A1-D6FC-4f65-9D91-7224C49458BB}"/>
          </c:extLst>
        </c:dLbl>
      </c:pivotFmt>
    </c:pivotFmts>
    <c:plotArea>
      <c:layout/>
      <c:doughnutChart>
        <c:varyColors val="1"/>
        <c:ser>
          <c:idx val="0"/>
          <c:order val="0"/>
          <c:tx>
            <c:strRef>
              <c:f>Grafy!$C$24</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75C-4B50-9E09-C4A71D12B4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75C-4B50-9E09-C4A71D12B4E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75C-4B50-9E09-C4A71D12B4E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75C-4B50-9E09-C4A71D12B4E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75C-4B50-9E09-C4A71D12B4EC}"/>
              </c:ext>
            </c:extLst>
          </c:dPt>
          <c:dLbls>
            <c:dLbl>
              <c:idx val="0"/>
              <c:layout>
                <c:manualLayout>
                  <c:x val="8.0119506339771246E-2"/>
                  <c:y val="-6.69056152927120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5C-4B50-9E09-C4A71D12B4EC}"/>
                </c:ext>
              </c:extLst>
            </c:dLbl>
            <c:dLbl>
              <c:idx val="1"/>
              <c:layout>
                <c:manualLayout>
                  <c:x val="-6.6766255283142839E-2"/>
                  <c:y val="8.6021505376344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5C-4B50-9E09-C4A71D12B4EC}"/>
                </c:ext>
              </c:extLst>
            </c:dLbl>
            <c:dLbl>
              <c:idx val="2"/>
              <c:layout>
                <c:manualLayout>
                  <c:x val="-8.3457819103928535E-2"/>
                  <c:y val="-1.9115890083632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5C-4B50-9E09-C4A71D12B4EC}"/>
                </c:ext>
              </c:extLst>
            </c:dLbl>
            <c:dLbl>
              <c:idx val="3"/>
              <c:layout>
                <c:manualLayout>
                  <c:x val="-5.6751316990671416E-2"/>
                  <c:y val="-7.6463560334528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5C-4B50-9E09-C4A71D12B4EC}"/>
                </c:ext>
              </c:extLst>
            </c:dLbl>
            <c:dLbl>
              <c:idx val="4"/>
              <c:layout>
                <c:manualLayout>
                  <c:x val="-2.4603160844329452E-2"/>
                  <c:y val="-0.100433856876385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75C-4B50-9E09-C4A71D12B4E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Grafy!$B$25:$B$30</c:f>
              <c:strCache>
                <c:ptCount val="5"/>
                <c:pt idx="0">
                  <c:v>BA I</c:v>
                </c:pt>
                <c:pt idx="1">
                  <c:v>BA II</c:v>
                </c:pt>
                <c:pt idx="2">
                  <c:v>BA III</c:v>
                </c:pt>
                <c:pt idx="3">
                  <c:v>BA IV</c:v>
                </c:pt>
                <c:pt idx="4">
                  <c:v>BA V</c:v>
                </c:pt>
              </c:strCache>
            </c:strRef>
          </c:cat>
          <c:val>
            <c:numRef>
              <c:f>Grafy!$C$25:$C$30</c:f>
              <c:numCache>
                <c:formatCode>0%</c:formatCode>
                <c:ptCount val="5"/>
                <c:pt idx="0">
                  <c:v>0.37307098287901358</c:v>
                </c:pt>
                <c:pt idx="1">
                  <c:v>0.34781940986629356</c:v>
                </c:pt>
                <c:pt idx="2">
                  <c:v>0.10324481410034805</c:v>
                </c:pt>
                <c:pt idx="3">
                  <c:v>6.2276665740819505E-2</c:v>
                </c:pt>
                <c:pt idx="4">
                  <c:v>0.11358812741352531</c:v>
                </c:pt>
              </c:numCache>
            </c:numRef>
          </c:val>
          <c:extLst>
            <c:ext xmlns:c16="http://schemas.microsoft.com/office/drawing/2014/chart" uri="{C3380CC4-5D6E-409C-BE32-E72D297353CC}">
              <c16:uniqueId val="{0000000A-D75C-4B50-9E09-C4A71D12B4EC}"/>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sk-SK"/>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pivotSource>
    <c:name>[3Q_2019_BRF_final.xlsx]Vysledky!PivotTable7</c:name>
    <c:fmtId val="-1"/>
  </c:pivotSource>
  <c:chart>
    <c:autoTitleDeleted val="1"/>
    <c:pivotFmts>
      <c:pivotFmt>
        <c:idx val="0"/>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002060"/>
          </a:solidFill>
          <a:ln>
            <a:noFill/>
          </a:ln>
          <a:effectLst/>
        </c:spPr>
        <c:dLbl>
          <c:idx val="0"/>
          <c:layout>
            <c:manualLayout>
              <c:x val="0"/>
              <c:y val="9.5904879359959526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002060"/>
          </a:solidFill>
          <a:ln>
            <a:noFill/>
          </a:ln>
          <a:effectLst/>
        </c:spPr>
        <c:dLbl>
          <c:idx val="0"/>
          <c:layout>
            <c:manualLayout>
              <c:x val="0"/>
              <c:y val="-3.6454479334661481E-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002060"/>
          </a:solidFill>
          <a:ln>
            <a:noFill/>
          </a:ln>
          <a:effectLst/>
        </c:spPr>
        <c:dLbl>
          <c:idx val="0"/>
          <c:layout>
            <c:manualLayout>
              <c:x val="0"/>
              <c:y val="6.3776365303734621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rgbClr val="FF0000"/>
          </a:solidFill>
          <a:ln>
            <a:noFill/>
          </a:ln>
          <a:effectLst/>
        </c:spPr>
        <c:dLbl>
          <c:idx val="0"/>
          <c:layout>
            <c:manualLayout>
              <c:x val="-3.457448665261441E-17"/>
              <c:y val="3.164785124750913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002060"/>
          </a:solidFill>
          <a:ln>
            <a:noFill/>
          </a:ln>
          <a:effectLst/>
        </c:spPr>
        <c:dLbl>
          <c:idx val="0"/>
          <c:layout>
            <c:manualLayout>
              <c:x val="0"/>
              <c:y val="4.5425165227840495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002060"/>
          </a:solidFill>
          <a:ln>
            <a:noFill/>
          </a:ln>
          <a:effectLst/>
        </c:spPr>
        <c:dLbl>
          <c:idx val="0"/>
          <c:layout>
            <c:manualLayout>
              <c:x val="0"/>
              <c:y val="5.8876134459096225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002060"/>
          </a:solidFill>
          <a:ln>
            <a:noFill/>
          </a:ln>
          <a:effectLst/>
        </c:spPr>
        <c:dLbl>
          <c:idx val="0"/>
          <c:layout>
            <c:manualLayout>
              <c:x val="0"/>
              <c:y val="6.3776365303734621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002060"/>
          </a:solidFill>
          <a:ln>
            <a:noFill/>
          </a:ln>
          <a:effectLst/>
        </c:spPr>
        <c:dLbl>
          <c:idx val="0"/>
          <c:layout>
            <c:manualLayout>
              <c:x val="0"/>
              <c:y val="-4.8066280871635368E-5"/>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FF0000"/>
          </a:solidFill>
          <a:ln>
            <a:noFill/>
          </a:ln>
          <a:effectLst/>
        </c:spPr>
        <c:dLbl>
          <c:idx val="0"/>
          <c:layout>
            <c:manualLayout>
              <c:x val="0"/>
              <c:y val="3.164785124750913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002060"/>
          </a:solidFill>
          <a:ln>
            <a:noFill/>
          </a:ln>
          <a:effectLst/>
        </c:spPr>
      </c:pivotFmt>
      <c:pivotFmt>
        <c:idx val="12"/>
        <c:spPr>
          <a:solidFill>
            <a:srgbClr val="002060"/>
          </a:solidFill>
          <a:ln>
            <a:noFill/>
          </a:ln>
          <a:effectLst/>
        </c:spPr>
        <c:dLbl>
          <c:idx val="0"/>
          <c:layout>
            <c:manualLayout>
              <c:x val="0"/>
              <c:y val="-3.260917686493948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rgbClr val="002060"/>
          </a:solidFill>
          <a:ln>
            <a:noFill/>
          </a:ln>
          <a:effectLst/>
        </c:spPr>
        <c:dLbl>
          <c:idx val="0"/>
          <c:layout>
            <c:manualLayout>
              <c:x val="0"/>
              <c:y val="9.5904879359959526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rgbClr val="002060"/>
          </a:solidFill>
          <a:ln>
            <a:noFill/>
          </a:ln>
          <a:effectLst/>
        </c:spPr>
        <c:dLbl>
          <c:idx val="0"/>
          <c:layout>
            <c:manualLayout>
              <c:x val="0"/>
              <c:y val="-3.6454479334661481E-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rgbClr val="002060"/>
          </a:solidFill>
          <a:ln>
            <a:noFill/>
          </a:ln>
          <a:effectLst/>
        </c:spPr>
        <c:dLbl>
          <c:idx val="0"/>
          <c:layout>
            <c:manualLayout>
              <c:x val="0"/>
              <c:y val="6.3776365303734621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rgbClr val="FF0000"/>
          </a:solidFill>
          <a:ln>
            <a:noFill/>
          </a:ln>
          <a:effectLst/>
        </c:spPr>
        <c:dLbl>
          <c:idx val="0"/>
          <c:layout>
            <c:manualLayout>
              <c:x val="-3.457448665261441E-17"/>
              <c:y val="3.164785124750913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solidFill>
            <a:srgbClr val="002060"/>
          </a:solidFill>
          <a:ln>
            <a:noFill/>
          </a:ln>
          <a:effectLst/>
        </c:spPr>
        <c:dLbl>
          <c:idx val="0"/>
          <c:layout>
            <c:manualLayout>
              <c:x val="0"/>
              <c:y val="4.5425165227840495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rgbClr val="002060"/>
          </a:solidFill>
          <a:ln>
            <a:noFill/>
          </a:ln>
          <a:effectLst/>
        </c:spPr>
        <c:dLbl>
          <c:idx val="0"/>
          <c:layout>
            <c:manualLayout>
              <c:x val="0"/>
              <c:y val="5.8876134459096225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rgbClr val="002060"/>
          </a:solidFill>
          <a:ln>
            <a:noFill/>
          </a:ln>
          <a:effectLst/>
        </c:spPr>
        <c:dLbl>
          <c:idx val="0"/>
          <c:layout>
            <c:manualLayout>
              <c:x val="0"/>
              <c:y val="6.3776365303734621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solidFill>
            <a:srgbClr val="002060"/>
          </a:solidFill>
          <a:ln>
            <a:noFill/>
          </a:ln>
          <a:effectLst/>
        </c:spPr>
        <c:dLbl>
          <c:idx val="0"/>
          <c:layout>
            <c:manualLayout>
              <c:x val="0"/>
              <c:y val="-4.8066280871635368E-5"/>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solidFill>
            <a:srgbClr val="FF0000"/>
          </a:solidFill>
          <a:ln>
            <a:noFill/>
          </a:ln>
          <a:effectLst/>
        </c:spPr>
        <c:dLbl>
          <c:idx val="0"/>
          <c:layout>
            <c:manualLayout>
              <c:x val="0"/>
              <c:y val="3.164785124750913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solidFill>
            <a:srgbClr val="002060"/>
          </a:solidFill>
          <a:ln>
            <a:noFill/>
          </a:ln>
          <a:effectLst/>
        </c:spPr>
      </c:pivotFmt>
      <c:pivotFmt>
        <c:idx val="2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rgbClr val="002060"/>
          </a:solidFill>
          <a:ln>
            <a:noFill/>
          </a:ln>
          <a:effectLst/>
        </c:spPr>
        <c:dLbl>
          <c:idx val="0"/>
          <c:layout>
            <c:manualLayout>
              <c:x val="0"/>
              <c:y val="9.5904879359959526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solidFill>
            <a:srgbClr val="002060"/>
          </a:solidFill>
          <a:ln>
            <a:noFill/>
          </a:ln>
          <a:effectLst/>
        </c:spPr>
        <c:dLbl>
          <c:idx val="0"/>
          <c:layout>
            <c:manualLayout>
              <c:x val="0"/>
              <c:y val="-3.6454479334661481E-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solidFill>
            <a:srgbClr val="002060"/>
          </a:solidFill>
          <a:ln>
            <a:noFill/>
          </a:ln>
          <a:effectLst/>
        </c:spPr>
        <c:dLbl>
          <c:idx val="0"/>
          <c:layout>
            <c:manualLayout>
              <c:x val="0"/>
              <c:y val="6.3776365303734621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8"/>
        <c:spPr>
          <a:solidFill>
            <a:srgbClr val="FF0000"/>
          </a:solidFill>
          <a:ln>
            <a:noFill/>
          </a:ln>
          <a:effectLst/>
        </c:spPr>
        <c:dLbl>
          <c:idx val="0"/>
          <c:layout>
            <c:manualLayout>
              <c:x val="-3.457448665261441E-17"/>
              <c:y val="3.164785124750913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9"/>
        <c:spPr>
          <a:solidFill>
            <a:srgbClr val="002060"/>
          </a:solidFill>
          <a:ln>
            <a:noFill/>
          </a:ln>
          <a:effectLst/>
        </c:spPr>
        <c:dLbl>
          <c:idx val="0"/>
          <c:layout>
            <c:manualLayout>
              <c:x val="0"/>
              <c:y val="4.5425165227840495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0"/>
        <c:spPr>
          <a:solidFill>
            <a:srgbClr val="002060"/>
          </a:solidFill>
          <a:ln>
            <a:noFill/>
          </a:ln>
          <a:effectLst/>
        </c:spPr>
        <c:dLbl>
          <c:idx val="0"/>
          <c:layout>
            <c:manualLayout>
              <c:x val="0"/>
              <c:y val="5.8876134459096225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1"/>
        <c:spPr>
          <a:solidFill>
            <a:srgbClr val="002060"/>
          </a:solidFill>
          <a:ln>
            <a:noFill/>
          </a:ln>
          <a:effectLst/>
        </c:spPr>
        <c:dLbl>
          <c:idx val="0"/>
          <c:layout>
            <c:manualLayout>
              <c:x val="0"/>
              <c:y val="6.3776365303734621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2"/>
        <c:spPr>
          <a:solidFill>
            <a:srgbClr val="002060"/>
          </a:solidFill>
          <a:ln>
            <a:noFill/>
          </a:ln>
          <a:effectLst/>
        </c:spPr>
        <c:dLbl>
          <c:idx val="0"/>
          <c:layout>
            <c:manualLayout>
              <c:x val="0"/>
              <c:y val="-4.8066280871635368E-5"/>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solidFill>
            <a:srgbClr val="FF0000"/>
          </a:solidFill>
          <a:ln>
            <a:noFill/>
          </a:ln>
          <a:effectLst/>
        </c:spPr>
        <c:dLbl>
          <c:idx val="0"/>
          <c:layout>
            <c:manualLayout>
              <c:x val="0"/>
              <c:y val="3.1647851247509134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solidFill>
            <a:srgbClr val="002060"/>
          </a:solidFill>
          <a:ln>
            <a:noFill/>
          </a:ln>
          <a:effectLst/>
        </c:spPr>
      </c:pivotFmt>
    </c:pivotFmts>
    <c:plotArea>
      <c:layout>
        <c:manualLayout>
          <c:layoutTarget val="inner"/>
          <c:xMode val="edge"/>
          <c:yMode val="edge"/>
          <c:x val="4.9802085550117045E-2"/>
          <c:y val="0.17506620375711149"/>
          <c:w val="0.93217989643186494"/>
          <c:h val="0.52603842848180749"/>
        </c:manualLayout>
      </c:layout>
      <c:barChart>
        <c:barDir val="col"/>
        <c:grouping val="clustered"/>
        <c:varyColors val="0"/>
        <c:ser>
          <c:idx val="0"/>
          <c:order val="0"/>
          <c:tx>
            <c:strRef>
              <c:f>Vysledky!$B$84</c:f>
              <c:strCache>
                <c:ptCount val="1"/>
                <c:pt idx="0">
                  <c:v>Celková hodnota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7975-4870-BC4E-A655B99C0598}"/>
              </c:ext>
            </c:extLst>
          </c:dPt>
          <c:dPt>
            <c:idx val="1"/>
            <c:invertIfNegative val="0"/>
            <c:bubble3D val="0"/>
            <c:spPr>
              <a:solidFill>
                <a:srgbClr val="002060"/>
              </a:solidFill>
              <a:ln>
                <a:noFill/>
              </a:ln>
              <a:effectLst/>
            </c:spPr>
            <c:extLst>
              <c:ext xmlns:c16="http://schemas.microsoft.com/office/drawing/2014/chart" uri="{C3380CC4-5D6E-409C-BE32-E72D297353CC}">
                <c16:uniqueId val="{00000003-7975-4870-BC4E-A655B99C0598}"/>
              </c:ext>
            </c:extLst>
          </c:dPt>
          <c:dPt>
            <c:idx val="2"/>
            <c:invertIfNegative val="0"/>
            <c:bubble3D val="0"/>
            <c:spPr>
              <a:solidFill>
                <a:srgbClr val="002060"/>
              </a:solidFill>
              <a:ln>
                <a:noFill/>
              </a:ln>
              <a:effectLst/>
            </c:spPr>
            <c:extLst>
              <c:ext xmlns:c16="http://schemas.microsoft.com/office/drawing/2014/chart" uri="{C3380CC4-5D6E-409C-BE32-E72D297353CC}">
                <c16:uniqueId val="{00000005-7975-4870-BC4E-A655B99C0598}"/>
              </c:ext>
            </c:extLst>
          </c:dPt>
          <c:dPt>
            <c:idx val="3"/>
            <c:invertIfNegative val="0"/>
            <c:bubble3D val="0"/>
            <c:spPr>
              <a:solidFill>
                <a:srgbClr val="FF0000"/>
              </a:solidFill>
              <a:ln>
                <a:noFill/>
              </a:ln>
              <a:effectLst/>
            </c:spPr>
            <c:extLst>
              <c:ext xmlns:c16="http://schemas.microsoft.com/office/drawing/2014/chart" uri="{C3380CC4-5D6E-409C-BE32-E72D297353CC}">
                <c16:uniqueId val="{00000007-7975-4870-BC4E-A655B99C0598}"/>
              </c:ext>
            </c:extLst>
          </c:dPt>
          <c:dPt>
            <c:idx val="4"/>
            <c:invertIfNegative val="0"/>
            <c:bubble3D val="0"/>
            <c:spPr>
              <a:solidFill>
                <a:srgbClr val="002060"/>
              </a:solidFill>
              <a:ln>
                <a:noFill/>
              </a:ln>
              <a:effectLst/>
            </c:spPr>
            <c:extLst>
              <c:ext xmlns:c16="http://schemas.microsoft.com/office/drawing/2014/chart" uri="{C3380CC4-5D6E-409C-BE32-E72D297353CC}">
                <c16:uniqueId val="{00000009-7975-4870-BC4E-A655B99C0598}"/>
              </c:ext>
            </c:extLst>
          </c:dPt>
          <c:dPt>
            <c:idx val="5"/>
            <c:invertIfNegative val="0"/>
            <c:bubble3D val="0"/>
            <c:spPr>
              <a:solidFill>
                <a:srgbClr val="002060"/>
              </a:solidFill>
              <a:ln>
                <a:noFill/>
              </a:ln>
              <a:effectLst/>
            </c:spPr>
            <c:extLst>
              <c:ext xmlns:c16="http://schemas.microsoft.com/office/drawing/2014/chart" uri="{C3380CC4-5D6E-409C-BE32-E72D297353CC}">
                <c16:uniqueId val="{0000000B-7975-4870-BC4E-A655B99C0598}"/>
              </c:ext>
            </c:extLst>
          </c:dPt>
          <c:dPt>
            <c:idx val="6"/>
            <c:invertIfNegative val="0"/>
            <c:bubble3D val="0"/>
            <c:spPr>
              <a:solidFill>
                <a:srgbClr val="002060"/>
              </a:solidFill>
              <a:ln>
                <a:noFill/>
              </a:ln>
              <a:effectLst/>
            </c:spPr>
            <c:extLst>
              <c:ext xmlns:c16="http://schemas.microsoft.com/office/drawing/2014/chart" uri="{C3380CC4-5D6E-409C-BE32-E72D297353CC}">
                <c16:uniqueId val="{0000000D-7975-4870-BC4E-A655B99C0598}"/>
              </c:ext>
            </c:extLst>
          </c:dPt>
          <c:dPt>
            <c:idx val="7"/>
            <c:invertIfNegative val="0"/>
            <c:bubble3D val="0"/>
            <c:spPr>
              <a:solidFill>
                <a:srgbClr val="002060"/>
              </a:solidFill>
              <a:ln>
                <a:noFill/>
              </a:ln>
              <a:effectLst/>
            </c:spPr>
            <c:extLst>
              <c:ext xmlns:c16="http://schemas.microsoft.com/office/drawing/2014/chart" uri="{C3380CC4-5D6E-409C-BE32-E72D297353CC}">
                <c16:uniqueId val="{0000000F-7975-4870-BC4E-A655B99C0598}"/>
              </c:ext>
            </c:extLst>
          </c:dPt>
          <c:dPt>
            <c:idx val="8"/>
            <c:invertIfNegative val="0"/>
            <c:bubble3D val="0"/>
            <c:spPr>
              <a:solidFill>
                <a:srgbClr val="FF0000"/>
              </a:solidFill>
              <a:ln>
                <a:noFill/>
              </a:ln>
              <a:effectLst/>
            </c:spPr>
            <c:extLst>
              <c:ext xmlns:c16="http://schemas.microsoft.com/office/drawing/2014/chart" uri="{C3380CC4-5D6E-409C-BE32-E72D297353CC}">
                <c16:uniqueId val="{00000011-7975-4870-BC4E-A655B99C0598}"/>
              </c:ext>
            </c:extLst>
          </c:dPt>
          <c:dPt>
            <c:idx val="9"/>
            <c:invertIfNegative val="0"/>
            <c:bubble3D val="0"/>
            <c:spPr>
              <a:solidFill>
                <a:srgbClr val="002060"/>
              </a:solidFill>
              <a:ln>
                <a:noFill/>
              </a:ln>
              <a:effectLst/>
            </c:spPr>
            <c:extLst>
              <c:ext xmlns:c16="http://schemas.microsoft.com/office/drawing/2014/chart" uri="{C3380CC4-5D6E-409C-BE32-E72D297353CC}">
                <c16:uniqueId val="{00000013-7975-4870-BC4E-A655B99C0598}"/>
              </c:ext>
            </c:extLst>
          </c:dPt>
          <c:dPt>
            <c:idx val="10"/>
            <c:invertIfNegative val="0"/>
            <c:bubble3D val="0"/>
            <c:extLst>
              <c:ext xmlns:c16="http://schemas.microsoft.com/office/drawing/2014/chart" uri="{C3380CC4-5D6E-409C-BE32-E72D297353CC}">
                <c16:uniqueId val="{00000014-7975-4870-BC4E-A655B99C0598}"/>
              </c:ext>
            </c:extLst>
          </c:dPt>
          <c:dLbls>
            <c:dLbl>
              <c:idx val="0"/>
              <c:layout>
                <c:manualLayout>
                  <c:x val="0"/>
                  <c:y val="9.59048793599595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75-4870-BC4E-A655B99C0598}"/>
                </c:ext>
              </c:extLst>
            </c:dLbl>
            <c:dLbl>
              <c:idx val="1"/>
              <c:layout>
                <c:manualLayout>
                  <c:x val="0"/>
                  <c:y val="-3.6454479334661481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75-4870-BC4E-A655B99C0598}"/>
                </c:ext>
              </c:extLst>
            </c:dLbl>
            <c:dLbl>
              <c:idx val="2"/>
              <c:layout>
                <c:manualLayout>
                  <c:x val="0"/>
                  <c:y val="6.37763653037346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75-4870-BC4E-A655B99C0598}"/>
                </c:ext>
              </c:extLst>
            </c:dLbl>
            <c:dLbl>
              <c:idx val="3"/>
              <c:layout>
                <c:manualLayout>
                  <c:x val="-3.457448665261441E-17"/>
                  <c:y val="3.164785124750913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75-4870-BC4E-A655B99C0598}"/>
                </c:ext>
              </c:extLst>
            </c:dLbl>
            <c:dLbl>
              <c:idx val="4"/>
              <c:layout>
                <c:manualLayout>
                  <c:x val="0"/>
                  <c:y val="4.54251652278404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75-4870-BC4E-A655B99C0598}"/>
                </c:ext>
              </c:extLst>
            </c:dLbl>
            <c:dLbl>
              <c:idx val="5"/>
              <c:layout>
                <c:manualLayout>
                  <c:x val="0"/>
                  <c:y val="5.887613445909622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75-4870-BC4E-A655B99C0598}"/>
                </c:ext>
              </c:extLst>
            </c:dLbl>
            <c:dLbl>
              <c:idx val="6"/>
              <c:layout>
                <c:manualLayout>
                  <c:x val="0"/>
                  <c:y val="6.37763653037346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75-4870-BC4E-A655B99C0598}"/>
                </c:ext>
              </c:extLst>
            </c:dLbl>
            <c:dLbl>
              <c:idx val="7"/>
              <c:layout>
                <c:manualLayout>
                  <c:x val="0"/>
                  <c:y val="-4.8066280871635368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75-4870-BC4E-A655B99C0598}"/>
                </c:ext>
              </c:extLst>
            </c:dLbl>
            <c:dLbl>
              <c:idx val="8"/>
              <c:layout>
                <c:manualLayout>
                  <c:x val="0"/>
                  <c:y val="3.164785124750913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75-4870-BC4E-A655B99C05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Vysledky!$A$85:$A$95</c:f>
              <c:strCache>
                <c:ptCount val="10"/>
                <c:pt idx="0">
                  <c:v>Adv/Media</c:v>
                </c:pt>
                <c:pt idx="1">
                  <c:v>Consumer Goods</c:v>
                </c:pt>
                <c:pt idx="2">
                  <c:v>Finance/
Banking/
Insurance</c:v>
                </c:pt>
                <c:pt idx="3">
                  <c:v>IT</c:v>
                </c:pt>
                <c:pt idx="4">
                  <c:v>Legal</c:v>
                </c:pt>
                <c:pt idx="5">
                  <c:v>Manufacturing/
Construction</c:v>
                </c:pt>
                <c:pt idx="6">
                  <c:v>Other</c:v>
                </c:pt>
                <c:pt idx="7">
                  <c:v>Pharma/Medical</c:v>
                </c:pt>
                <c:pt idx="8">
                  <c:v>Prof. services</c:v>
                </c:pt>
                <c:pt idx="9">
                  <c:v>Public/Embassy/Trade Council/Diplomatic </c:v>
                </c:pt>
              </c:strCache>
            </c:strRef>
          </c:cat>
          <c:val>
            <c:numRef>
              <c:f>Vysledky!$B$85:$B$95</c:f>
              <c:numCache>
                <c:formatCode>0%</c:formatCode>
                <c:ptCount val="10"/>
                <c:pt idx="0">
                  <c:v>7.971450037565738E-4</c:v>
                </c:pt>
                <c:pt idx="1">
                  <c:v>1.2246431254695716E-2</c:v>
                </c:pt>
                <c:pt idx="2">
                  <c:v>5.0655897821187075E-2</c:v>
                </c:pt>
                <c:pt idx="3">
                  <c:v>0.25522614575507135</c:v>
                </c:pt>
                <c:pt idx="4">
                  <c:v>1.8098797896318557E-2</c:v>
                </c:pt>
                <c:pt idx="5">
                  <c:v>0.10832832456799396</c:v>
                </c:pt>
                <c:pt idx="6">
                  <c:v>3.8941397445529678E-2</c:v>
                </c:pt>
                <c:pt idx="7">
                  <c:v>3.7247558226897064E-2</c:v>
                </c:pt>
                <c:pt idx="8">
                  <c:v>0.2776994740796393</c:v>
                </c:pt>
                <c:pt idx="9">
                  <c:v>0.20075882794891056</c:v>
                </c:pt>
              </c:numCache>
            </c:numRef>
          </c:val>
          <c:extLst>
            <c:ext xmlns:c16="http://schemas.microsoft.com/office/drawing/2014/chart" uri="{C3380CC4-5D6E-409C-BE32-E72D297353CC}">
              <c16:uniqueId val="{00000015-7975-4870-BC4E-A655B99C0598}"/>
            </c:ext>
          </c:extLst>
        </c:ser>
        <c:dLbls>
          <c:dLblPos val="inEnd"/>
          <c:showLegendKey val="0"/>
          <c:showVal val="1"/>
          <c:showCatName val="0"/>
          <c:showSerName val="0"/>
          <c:showPercent val="0"/>
          <c:showBubbleSize val="0"/>
        </c:dLbls>
        <c:gapWidth val="100"/>
        <c:overlap val="-24"/>
        <c:axId val="205334192"/>
        <c:axId val="205335760"/>
      </c:barChart>
      <c:catAx>
        <c:axId val="2053341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2"/>
                </a:solidFill>
                <a:latin typeface="+mn-lt"/>
                <a:ea typeface="+mn-ea"/>
                <a:cs typeface="+mn-cs"/>
              </a:defRPr>
            </a:pPr>
            <a:endParaRPr lang="sk-SK"/>
          </a:p>
        </c:txPr>
        <c:crossAx val="205335760"/>
        <c:crosses val="autoZero"/>
        <c:auto val="1"/>
        <c:lblAlgn val="ctr"/>
        <c:lblOffset val="100"/>
        <c:noMultiLvlLbl val="0"/>
      </c:catAx>
      <c:valAx>
        <c:axId val="20533576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k-SK"/>
          </a:p>
        </c:txPr>
        <c:crossAx val="20533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k-SK"/>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910B-A2E0-4B06-8072-F05B92FB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955</Words>
  <Characters>5449</Characters>
  <Application>Microsoft Office Word</Application>
  <DocSecurity>0</DocSecurity>
  <Lines>45</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2Q 2014</vt:lpstr>
      <vt:lpstr>2Q 2014</vt:lpstr>
    </vt:vector>
  </TitlesOfParts>
  <Company>Colliers International, spol. s r.o.</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2019</dc:title>
  <dc:subject>Cushman&amp;Wakefield</dc:subject>
  <dc:creator>Bratislava Research Forum</dc:creator>
  <cp:lastModifiedBy>Mikula, Andrej</cp:lastModifiedBy>
  <cp:revision>3</cp:revision>
  <cp:lastPrinted>2012-05-03T15:42:00Z</cp:lastPrinted>
  <dcterms:created xsi:type="dcterms:W3CDTF">2019-10-24T15:59:00Z</dcterms:created>
  <dcterms:modified xsi:type="dcterms:W3CDTF">2019-10-28T09:24:00Z</dcterms:modified>
</cp:coreProperties>
</file>