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3FB" w:rsidRPr="005D218F" w:rsidRDefault="001F1E24" w:rsidP="007733FB">
      <w:pPr>
        <w:ind w:left="3600" w:firstLine="720"/>
        <w:jc w:val="right"/>
        <w:rPr>
          <w:rFonts w:ascii="Garamond" w:hAnsi="Garamond"/>
          <w:sz w:val="24"/>
          <w:lang w:val="sk-SK"/>
        </w:rPr>
      </w:pPr>
      <w:bookmarkStart w:id="0" w:name="_Hlk14968177"/>
      <w:bookmarkEnd w:id="0"/>
      <w:r w:rsidRPr="005D218F">
        <w:rPr>
          <w:rFonts w:ascii="Garamond" w:hAnsi="Garamond"/>
          <w:noProof/>
          <w:sz w:val="24"/>
          <w:lang w:val="sk-SK" w:eastAsia="sk-SK"/>
        </w:rPr>
        <w:drawing>
          <wp:inline distT="0" distB="0" distL="0" distR="0">
            <wp:extent cx="1981200" cy="723900"/>
            <wp:effectExtent l="0" t="0" r="0" b="0"/>
            <wp:docPr id="2" name="Picture 2" descr="Logo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0DB" w:rsidRPr="005D218F" w:rsidRDefault="00F520DB" w:rsidP="007733FB">
      <w:pPr>
        <w:ind w:left="3600" w:firstLine="720"/>
        <w:jc w:val="right"/>
        <w:rPr>
          <w:rFonts w:ascii="Arial" w:hAnsi="Arial" w:cs="Arial"/>
          <w:b/>
          <w:lang w:val="sk-SK"/>
        </w:rPr>
      </w:pPr>
    </w:p>
    <w:p w:rsidR="007733FB" w:rsidRPr="005D218F" w:rsidRDefault="00C749CD" w:rsidP="007733FB">
      <w:pPr>
        <w:rPr>
          <w:rFonts w:ascii="Arial" w:hAnsi="Arial" w:cs="Arial"/>
          <w:b/>
          <w:sz w:val="24"/>
          <w:szCs w:val="24"/>
          <w:lang w:val="sk-SK"/>
        </w:rPr>
      </w:pPr>
      <w:r w:rsidRPr="005D218F">
        <w:rPr>
          <w:rFonts w:ascii="Arial" w:hAnsi="Arial" w:cs="Arial"/>
          <w:b/>
          <w:sz w:val="24"/>
          <w:szCs w:val="24"/>
          <w:lang w:val="sk-SK"/>
        </w:rPr>
        <w:t>Tlačová správa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6"/>
      </w:tblGrid>
      <w:tr w:rsidR="007733FB" w:rsidRPr="005D218F" w:rsidTr="00E8466A">
        <w:trPr>
          <w:trHeight w:val="848"/>
        </w:trPr>
        <w:tc>
          <w:tcPr>
            <w:tcW w:w="10215" w:type="dxa"/>
            <w:shd w:val="clear" w:color="auto" w:fill="auto"/>
          </w:tcPr>
          <w:p w:rsidR="00F520DB" w:rsidRPr="005D218F" w:rsidRDefault="00F520DB" w:rsidP="00E8466A">
            <w:pPr>
              <w:pStyle w:val="Hlavika"/>
              <w:jc w:val="right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  <w:p w:rsidR="005D666E" w:rsidRPr="005D218F" w:rsidRDefault="005D666E" w:rsidP="00E8466A">
            <w:pPr>
              <w:pStyle w:val="Hlavika"/>
              <w:jc w:val="right"/>
              <w:rPr>
                <w:rFonts w:ascii="Arial" w:hAnsi="Arial" w:cs="Arial"/>
                <w:sz w:val="18"/>
                <w:szCs w:val="18"/>
                <w:lang w:val="sk-SK"/>
              </w:rPr>
            </w:pPr>
            <w:proofErr w:type="spellStart"/>
            <w:r w:rsidRPr="005D218F">
              <w:rPr>
                <w:rFonts w:ascii="Arial" w:hAnsi="Arial" w:cs="Arial"/>
                <w:sz w:val="18"/>
                <w:szCs w:val="18"/>
                <w:lang w:val="sk-SK"/>
              </w:rPr>
              <w:t>Cushman</w:t>
            </w:r>
            <w:proofErr w:type="spellEnd"/>
            <w:r w:rsidRPr="005D218F">
              <w:rPr>
                <w:rFonts w:ascii="Arial" w:hAnsi="Arial" w:cs="Arial"/>
                <w:sz w:val="18"/>
                <w:szCs w:val="18"/>
                <w:lang w:val="sk-SK"/>
              </w:rPr>
              <w:t xml:space="preserve"> &amp; </w:t>
            </w:r>
            <w:proofErr w:type="spellStart"/>
            <w:r w:rsidRPr="005D218F">
              <w:rPr>
                <w:rFonts w:ascii="Arial" w:hAnsi="Arial" w:cs="Arial"/>
                <w:sz w:val="18"/>
                <w:szCs w:val="18"/>
                <w:lang w:val="sk-SK"/>
              </w:rPr>
              <w:t>Wakefield</w:t>
            </w:r>
            <w:proofErr w:type="spellEnd"/>
            <w:r w:rsidRPr="005D218F">
              <w:rPr>
                <w:rFonts w:ascii="Arial" w:hAnsi="Arial" w:cs="Arial"/>
                <w:sz w:val="18"/>
                <w:szCs w:val="18"/>
                <w:lang w:val="sk-SK"/>
              </w:rPr>
              <w:t>: +42</w:t>
            </w:r>
            <w:r w:rsidR="00160FAA" w:rsidRPr="005D218F">
              <w:rPr>
                <w:rFonts w:ascii="Arial" w:hAnsi="Arial" w:cs="Arial"/>
                <w:sz w:val="18"/>
                <w:szCs w:val="18"/>
                <w:lang w:val="sk-SK"/>
              </w:rPr>
              <w:t>1 259 209 33</w:t>
            </w:r>
            <w:r w:rsidRPr="005D218F">
              <w:rPr>
                <w:rFonts w:ascii="Arial" w:hAnsi="Arial" w:cs="Arial"/>
                <w:sz w:val="18"/>
                <w:szCs w:val="18"/>
                <w:lang w:val="sk-SK"/>
              </w:rPr>
              <w:t>3</w:t>
            </w:r>
          </w:p>
          <w:p w:rsidR="007733FB" w:rsidRPr="005D218F" w:rsidRDefault="00160FAA" w:rsidP="00E8466A">
            <w:pPr>
              <w:pStyle w:val="Hlavika"/>
              <w:ind w:left="-630"/>
              <w:jc w:val="righ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5D218F">
              <w:rPr>
                <w:rFonts w:ascii="Arial" w:hAnsi="Arial" w:cs="Arial"/>
                <w:sz w:val="18"/>
                <w:szCs w:val="18"/>
                <w:lang w:val="sk-SK"/>
              </w:rPr>
              <w:t>CB</w:t>
            </w:r>
            <w:r w:rsidR="009A688D" w:rsidRPr="005D218F">
              <w:rPr>
                <w:rFonts w:ascii="Arial" w:hAnsi="Arial" w:cs="Arial"/>
                <w:sz w:val="18"/>
                <w:szCs w:val="18"/>
                <w:lang w:val="sk-SK"/>
              </w:rPr>
              <w:t>RE</w:t>
            </w:r>
            <w:r w:rsidRPr="005D218F">
              <w:rPr>
                <w:rFonts w:ascii="Arial" w:hAnsi="Arial" w:cs="Arial"/>
                <w:sz w:val="18"/>
                <w:szCs w:val="18"/>
                <w:lang w:val="sk-SK"/>
              </w:rPr>
              <w:t>: +421 232 553 3</w:t>
            </w:r>
            <w:r w:rsidR="00CF6135">
              <w:rPr>
                <w:rFonts w:ascii="Arial" w:hAnsi="Arial" w:cs="Arial"/>
                <w:sz w:val="18"/>
                <w:szCs w:val="18"/>
                <w:lang w:val="sk-SK"/>
              </w:rPr>
              <w:t>00</w:t>
            </w:r>
          </w:p>
          <w:p w:rsidR="004540D0" w:rsidRPr="005D218F" w:rsidRDefault="00160FAA" w:rsidP="00E8466A">
            <w:pPr>
              <w:pStyle w:val="Hlavika"/>
              <w:jc w:val="right"/>
              <w:rPr>
                <w:rFonts w:ascii="Arial" w:hAnsi="Arial" w:cs="Arial"/>
                <w:sz w:val="18"/>
                <w:szCs w:val="18"/>
                <w:lang w:val="sk-SK"/>
              </w:rPr>
            </w:pPr>
            <w:proofErr w:type="spellStart"/>
            <w:r w:rsidRPr="005D218F">
              <w:rPr>
                <w:rFonts w:ascii="Arial" w:hAnsi="Arial" w:cs="Arial"/>
                <w:sz w:val="18"/>
                <w:szCs w:val="18"/>
                <w:lang w:val="sk-SK"/>
              </w:rPr>
              <w:t>Colliers</w:t>
            </w:r>
            <w:proofErr w:type="spellEnd"/>
            <w:r w:rsidRPr="005D218F">
              <w:rPr>
                <w:rFonts w:ascii="Arial" w:hAnsi="Arial" w:cs="Arial"/>
                <w:sz w:val="18"/>
                <w:szCs w:val="18"/>
                <w:lang w:val="sk-SK"/>
              </w:rPr>
              <w:t xml:space="preserve"> International: +421 259</w:t>
            </w:r>
            <w:r w:rsidR="007733FB" w:rsidRPr="005D218F">
              <w:rPr>
                <w:rFonts w:ascii="Arial" w:hAnsi="Arial" w:cs="Arial"/>
                <w:sz w:val="18"/>
                <w:szCs w:val="18"/>
                <w:lang w:val="sk-SK"/>
              </w:rPr>
              <w:t> </w:t>
            </w:r>
            <w:r w:rsidRPr="005D218F">
              <w:rPr>
                <w:rFonts w:ascii="Arial" w:hAnsi="Arial" w:cs="Arial"/>
                <w:sz w:val="18"/>
                <w:szCs w:val="18"/>
                <w:lang w:val="sk-SK"/>
              </w:rPr>
              <w:t>980</w:t>
            </w:r>
            <w:r w:rsidR="004540D0" w:rsidRPr="005D218F">
              <w:rPr>
                <w:rFonts w:ascii="Arial" w:hAnsi="Arial" w:cs="Arial"/>
                <w:sz w:val="18"/>
                <w:szCs w:val="18"/>
                <w:lang w:val="sk-SK"/>
              </w:rPr>
              <w:t> </w:t>
            </w:r>
            <w:r w:rsidRPr="005D218F">
              <w:rPr>
                <w:rFonts w:ascii="Arial" w:hAnsi="Arial" w:cs="Arial"/>
                <w:sz w:val="18"/>
                <w:szCs w:val="18"/>
                <w:lang w:val="sk-SK"/>
              </w:rPr>
              <w:t>980</w:t>
            </w:r>
          </w:p>
          <w:p w:rsidR="007733FB" w:rsidRPr="005D218F" w:rsidRDefault="00F23D1D" w:rsidP="00E8466A">
            <w:pPr>
              <w:pStyle w:val="Hlavika"/>
              <w:jc w:val="righ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5D218F">
              <w:rPr>
                <w:rFonts w:ascii="Arial" w:hAnsi="Arial" w:cs="Arial"/>
                <w:sz w:val="18"/>
                <w:szCs w:val="18"/>
                <w:lang w:val="sk-SK"/>
              </w:rPr>
              <w:t>JLL</w:t>
            </w:r>
            <w:r w:rsidR="004540D0" w:rsidRPr="005D218F">
              <w:rPr>
                <w:rFonts w:ascii="Arial" w:hAnsi="Arial" w:cs="Arial"/>
                <w:sz w:val="18"/>
                <w:szCs w:val="18"/>
                <w:lang w:val="sk-SK"/>
              </w:rPr>
              <w:t>: +421 259 209 931</w:t>
            </w:r>
            <w:r w:rsidR="007733FB" w:rsidRPr="005D218F">
              <w:rPr>
                <w:rFonts w:ascii="Arial" w:hAnsi="Arial" w:cs="Arial"/>
                <w:sz w:val="18"/>
                <w:szCs w:val="18"/>
                <w:lang w:val="sk-SK"/>
              </w:rPr>
              <w:t xml:space="preserve">            </w:t>
            </w:r>
          </w:p>
          <w:p w:rsidR="007733FB" w:rsidRPr="005D218F" w:rsidRDefault="007733FB" w:rsidP="00E8466A">
            <w:pPr>
              <w:pStyle w:val="Hlavika"/>
              <w:jc w:val="right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</w:tc>
      </w:tr>
    </w:tbl>
    <w:p w:rsidR="007733FB" w:rsidRPr="005D48BA" w:rsidRDefault="007733FB" w:rsidP="005D48BA">
      <w:bookmarkStart w:id="1" w:name="OLE_LINK3"/>
      <w:bookmarkStart w:id="2" w:name="OLE_LINK4"/>
    </w:p>
    <w:p w:rsidR="007733FB" w:rsidRPr="00574CAA" w:rsidRDefault="008221A0" w:rsidP="00407FBC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2</w:t>
      </w:r>
      <w:r w:rsidR="00657EF6">
        <w:rPr>
          <w:rFonts w:ascii="Arial" w:hAnsi="Arial" w:cs="Arial"/>
          <w:lang w:val="sk-SK"/>
        </w:rPr>
        <w:t>4</w:t>
      </w:r>
      <w:r w:rsidR="00407FBC" w:rsidRPr="00574CAA">
        <w:rPr>
          <w:rFonts w:ascii="Arial" w:hAnsi="Arial" w:cs="Arial"/>
          <w:lang w:val="sk-SK"/>
        </w:rPr>
        <w:t xml:space="preserve">. </w:t>
      </w:r>
      <w:r w:rsidR="00657EF6">
        <w:rPr>
          <w:rFonts w:ascii="Arial" w:hAnsi="Arial" w:cs="Arial"/>
          <w:lang w:val="sk-SK"/>
        </w:rPr>
        <w:t>Októbra</w:t>
      </w:r>
      <w:r w:rsidR="00B60907" w:rsidRPr="00574CAA">
        <w:rPr>
          <w:rFonts w:ascii="Arial" w:hAnsi="Arial" w:cs="Arial"/>
          <w:lang w:val="sk-SK"/>
        </w:rPr>
        <w:t xml:space="preserve"> </w:t>
      </w:r>
      <w:r w:rsidR="005D48BA" w:rsidRPr="00574CAA">
        <w:rPr>
          <w:rFonts w:ascii="Arial" w:hAnsi="Arial" w:cs="Arial"/>
          <w:lang w:val="sk-SK"/>
        </w:rPr>
        <w:t>201</w:t>
      </w:r>
      <w:r w:rsidR="0028684C">
        <w:rPr>
          <w:rFonts w:ascii="Arial" w:hAnsi="Arial" w:cs="Arial"/>
          <w:lang w:val="sk-SK"/>
        </w:rPr>
        <w:t>9</w:t>
      </w:r>
      <w:r w:rsidR="00BB0E42" w:rsidRPr="00574CAA">
        <w:rPr>
          <w:rFonts w:ascii="Arial" w:hAnsi="Arial" w:cs="Arial"/>
          <w:lang w:val="sk-SK"/>
        </w:rPr>
        <w:t xml:space="preserve">, </w:t>
      </w:r>
      <w:r w:rsidR="005D666E" w:rsidRPr="00574CAA">
        <w:rPr>
          <w:rFonts w:ascii="Arial" w:hAnsi="Arial" w:cs="Arial"/>
          <w:lang w:val="sk-SK"/>
        </w:rPr>
        <w:t>Bratislava</w:t>
      </w:r>
    </w:p>
    <w:p w:rsidR="007733FB" w:rsidRPr="00574CAA" w:rsidRDefault="007733FB" w:rsidP="007733FB">
      <w:pPr>
        <w:jc w:val="both"/>
        <w:rPr>
          <w:rFonts w:ascii="Arial" w:hAnsi="Arial" w:cs="Arial"/>
          <w:b/>
          <w:lang w:val="sk-SK"/>
        </w:rPr>
      </w:pPr>
    </w:p>
    <w:p w:rsidR="00950E0C" w:rsidRPr="00574CAA" w:rsidRDefault="005D666E" w:rsidP="00542390">
      <w:pPr>
        <w:jc w:val="center"/>
        <w:outlineLvl w:val="0"/>
        <w:rPr>
          <w:rFonts w:ascii="Arial" w:hAnsi="Arial" w:cs="Arial"/>
          <w:b/>
          <w:sz w:val="24"/>
          <w:szCs w:val="24"/>
          <w:lang w:val="sk-SK"/>
        </w:rPr>
      </w:pPr>
      <w:r w:rsidRPr="00574CAA">
        <w:rPr>
          <w:rFonts w:ascii="Arial" w:hAnsi="Arial" w:cs="Arial"/>
          <w:b/>
          <w:sz w:val="24"/>
          <w:szCs w:val="24"/>
          <w:lang w:val="sk-SK"/>
        </w:rPr>
        <w:t>Bratislava</w:t>
      </w:r>
      <w:r w:rsidR="007733FB" w:rsidRPr="00574CAA">
        <w:rPr>
          <w:rFonts w:ascii="Arial" w:hAnsi="Arial" w:cs="Arial"/>
          <w:b/>
          <w:sz w:val="24"/>
          <w:szCs w:val="24"/>
          <w:lang w:val="sk-SK"/>
        </w:rPr>
        <w:t xml:space="preserve"> </w:t>
      </w:r>
      <w:proofErr w:type="spellStart"/>
      <w:r w:rsidR="007733FB" w:rsidRPr="00574CAA">
        <w:rPr>
          <w:rFonts w:ascii="Arial" w:hAnsi="Arial" w:cs="Arial"/>
          <w:b/>
          <w:sz w:val="24"/>
          <w:szCs w:val="24"/>
          <w:lang w:val="sk-SK"/>
        </w:rPr>
        <w:t>Research</w:t>
      </w:r>
      <w:proofErr w:type="spellEnd"/>
      <w:r w:rsidR="007733FB" w:rsidRPr="00574CAA">
        <w:rPr>
          <w:rFonts w:ascii="Arial" w:hAnsi="Arial" w:cs="Arial"/>
          <w:b/>
          <w:sz w:val="24"/>
          <w:szCs w:val="24"/>
          <w:lang w:val="sk-SK"/>
        </w:rPr>
        <w:t xml:space="preserve"> </w:t>
      </w:r>
      <w:proofErr w:type="spellStart"/>
      <w:r w:rsidR="007733FB" w:rsidRPr="00574CAA">
        <w:rPr>
          <w:rFonts w:ascii="Arial" w:hAnsi="Arial" w:cs="Arial"/>
          <w:b/>
          <w:sz w:val="24"/>
          <w:szCs w:val="24"/>
          <w:lang w:val="sk-SK"/>
        </w:rPr>
        <w:t>Forum</w:t>
      </w:r>
      <w:proofErr w:type="spellEnd"/>
      <w:r w:rsidR="007733FB" w:rsidRPr="00574CAA">
        <w:rPr>
          <w:rFonts w:ascii="Arial" w:hAnsi="Arial" w:cs="Arial"/>
          <w:b/>
          <w:sz w:val="24"/>
          <w:szCs w:val="24"/>
          <w:lang w:val="sk-SK"/>
        </w:rPr>
        <w:t xml:space="preserve"> </w:t>
      </w:r>
      <w:r w:rsidR="009758C7" w:rsidRPr="00574CAA">
        <w:rPr>
          <w:rFonts w:ascii="Arial" w:hAnsi="Arial" w:cs="Arial"/>
          <w:b/>
          <w:sz w:val="24"/>
          <w:szCs w:val="24"/>
          <w:lang w:val="sk-SK"/>
        </w:rPr>
        <w:t>z</w:t>
      </w:r>
      <w:r w:rsidR="00C749CD" w:rsidRPr="00574CAA">
        <w:rPr>
          <w:rFonts w:ascii="Arial" w:hAnsi="Arial" w:cs="Arial"/>
          <w:b/>
          <w:sz w:val="24"/>
          <w:szCs w:val="24"/>
          <w:lang w:val="sk-SK"/>
        </w:rPr>
        <w:t>verejňuje svoje výsledky</w:t>
      </w:r>
    </w:p>
    <w:p w:rsidR="00C749CD" w:rsidRPr="00574CAA" w:rsidRDefault="00C749CD" w:rsidP="00542390">
      <w:pPr>
        <w:jc w:val="center"/>
        <w:outlineLvl w:val="0"/>
        <w:rPr>
          <w:rFonts w:ascii="Arial" w:hAnsi="Arial" w:cs="Arial"/>
          <w:b/>
          <w:sz w:val="24"/>
          <w:szCs w:val="24"/>
          <w:lang w:val="sk-SK"/>
        </w:rPr>
      </w:pPr>
      <w:r w:rsidRPr="00574CAA">
        <w:rPr>
          <w:rFonts w:ascii="Arial" w:hAnsi="Arial" w:cs="Arial"/>
          <w:b/>
          <w:sz w:val="24"/>
          <w:szCs w:val="24"/>
          <w:lang w:val="sk-SK"/>
        </w:rPr>
        <w:t xml:space="preserve">trhu kancelárskych priestorov za </w:t>
      </w:r>
      <w:r w:rsidR="00657EF6">
        <w:rPr>
          <w:rFonts w:ascii="Arial" w:hAnsi="Arial" w:cs="Arial"/>
          <w:b/>
          <w:sz w:val="24"/>
          <w:szCs w:val="24"/>
          <w:lang w:val="sk-SK"/>
        </w:rPr>
        <w:t>3</w:t>
      </w:r>
      <w:r w:rsidR="00220615" w:rsidRPr="00574CAA">
        <w:rPr>
          <w:rFonts w:ascii="Arial" w:hAnsi="Arial" w:cs="Arial"/>
          <w:b/>
          <w:sz w:val="24"/>
          <w:szCs w:val="24"/>
          <w:lang w:val="sk-SK"/>
        </w:rPr>
        <w:t>. kvartál 20</w:t>
      </w:r>
      <w:r w:rsidR="00802541" w:rsidRPr="00574CAA">
        <w:rPr>
          <w:rFonts w:ascii="Arial" w:hAnsi="Arial" w:cs="Arial"/>
          <w:b/>
          <w:sz w:val="24"/>
          <w:szCs w:val="24"/>
          <w:lang w:val="sk-SK"/>
        </w:rPr>
        <w:t>1</w:t>
      </w:r>
      <w:r w:rsidR="00F8311B">
        <w:rPr>
          <w:rFonts w:ascii="Arial" w:hAnsi="Arial" w:cs="Arial"/>
          <w:b/>
          <w:sz w:val="24"/>
          <w:szCs w:val="24"/>
          <w:lang w:val="sk-SK"/>
        </w:rPr>
        <w:t>9</w:t>
      </w:r>
    </w:p>
    <w:p w:rsidR="00C749CD" w:rsidRPr="00574CAA" w:rsidRDefault="00C749CD" w:rsidP="00710C2A">
      <w:pPr>
        <w:jc w:val="both"/>
        <w:outlineLvl w:val="0"/>
        <w:rPr>
          <w:rFonts w:ascii="Arial" w:hAnsi="Arial" w:cs="Arial"/>
          <w:b/>
          <w:sz w:val="24"/>
          <w:szCs w:val="24"/>
          <w:lang w:val="sk-SK"/>
        </w:rPr>
      </w:pPr>
    </w:p>
    <w:p w:rsidR="007733FB" w:rsidRPr="00574CAA" w:rsidRDefault="007733FB" w:rsidP="007733FB">
      <w:pPr>
        <w:pStyle w:val="Hlavika"/>
        <w:rPr>
          <w:rFonts w:ascii="Arial" w:hAnsi="Arial" w:cs="Arial"/>
          <w:sz w:val="18"/>
          <w:szCs w:val="18"/>
          <w:lang w:val="sk-SK"/>
        </w:rPr>
      </w:pPr>
    </w:p>
    <w:bookmarkEnd w:id="1"/>
    <w:bookmarkEnd w:id="2"/>
    <w:p w:rsidR="006442BE" w:rsidRPr="00F12436" w:rsidRDefault="003A7575" w:rsidP="00D2293D">
      <w:pPr>
        <w:jc w:val="both"/>
        <w:rPr>
          <w:rFonts w:ascii="Arial" w:hAnsi="Arial" w:cs="Arial"/>
          <w:b/>
          <w:sz w:val="18"/>
          <w:szCs w:val="18"/>
          <w:lang w:val="sk-SK"/>
        </w:rPr>
      </w:pPr>
      <w:r w:rsidRPr="00F12436">
        <w:rPr>
          <w:rFonts w:ascii="Arial" w:hAnsi="Arial" w:cs="Arial"/>
          <w:b/>
          <w:sz w:val="18"/>
          <w:szCs w:val="18"/>
          <w:lang w:val="sk-SK"/>
        </w:rPr>
        <w:t>V </w:t>
      </w:r>
      <w:r w:rsidR="00657EF6">
        <w:rPr>
          <w:rFonts w:ascii="Arial" w:hAnsi="Arial" w:cs="Arial"/>
          <w:b/>
          <w:sz w:val="18"/>
          <w:szCs w:val="18"/>
          <w:lang w:val="sk-SK"/>
        </w:rPr>
        <w:t>treťom</w:t>
      </w:r>
      <w:r w:rsidRPr="00F12436">
        <w:rPr>
          <w:rFonts w:ascii="Arial" w:hAnsi="Arial" w:cs="Arial"/>
          <w:b/>
          <w:sz w:val="18"/>
          <w:szCs w:val="18"/>
          <w:lang w:val="sk-SK"/>
        </w:rPr>
        <w:t xml:space="preserve"> kvartáli</w:t>
      </w:r>
      <w:r w:rsidR="009D1BD0" w:rsidRPr="00F12436">
        <w:rPr>
          <w:rFonts w:ascii="Arial" w:hAnsi="Arial" w:cs="Arial"/>
          <w:b/>
          <w:sz w:val="18"/>
          <w:szCs w:val="18"/>
          <w:lang w:val="sk-SK"/>
        </w:rPr>
        <w:t xml:space="preserve"> 20</w:t>
      </w:r>
      <w:r w:rsidR="00547CC1" w:rsidRPr="00F12436">
        <w:rPr>
          <w:rFonts w:ascii="Arial" w:hAnsi="Arial" w:cs="Arial"/>
          <w:b/>
          <w:sz w:val="18"/>
          <w:szCs w:val="18"/>
          <w:lang w:val="sk-SK"/>
        </w:rPr>
        <w:t>1</w:t>
      </w:r>
      <w:r w:rsidR="00F8311B" w:rsidRPr="00F12436">
        <w:rPr>
          <w:rFonts w:ascii="Arial" w:hAnsi="Arial" w:cs="Arial"/>
          <w:b/>
          <w:sz w:val="18"/>
          <w:szCs w:val="18"/>
          <w:lang w:val="sk-SK"/>
        </w:rPr>
        <w:t>9</w:t>
      </w:r>
      <w:r w:rsidR="004E7ABF" w:rsidRPr="00F12436">
        <w:rPr>
          <w:rFonts w:ascii="Arial" w:hAnsi="Arial" w:cs="Arial"/>
          <w:b/>
          <w:sz w:val="18"/>
          <w:szCs w:val="18"/>
          <w:lang w:val="sk-SK"/>
        </w:rPr>
        <w:t xml:space="preserve"> do</w:t>
      </w:r>
      <w:r w:rsidR="009D1BD0" w:rsidRPr="00F12436">
        <w:rPr>
          <w:rFonts w:ascii="Arial" w:hAnsi="Arial" w:cs="Arial"/>
          <w:b/>
          <w:sz w:val="18"/>
          <w:szCs w:val="18"/>
          <w:lang w:val="sk-SK"/>
        </w:rPr>
        <w:t>siahla celková ponuka kancelárskych priestorov (Office Stock) v</w:t>
      </w:r>
      <w:r w:rsidR="004E7ABF" w:rsidRPr="00F12436">
        <w:rPr>
          <w:rFonts w:ascii="Arial" w:hAnsi="Arial" w:cs="Arial"/>
          <w:b/>
          <w:sz w:val="18"/>
          <w:szCs w:val="18"/>
          <w:lang w:val="sk-SK"/>
        </w:rPr>
        <w:t> </w:t>
      </w:r>
      <w:r w:rsidR="009D1BD0" w:rsidRPr="00F12436">
        <w:rPr>
          <w:rFonts w:ascii="Arial" w:hAnsi="Arial" w:cs="Arial"/>
          <w:b/>
          <w:sz w:val="18"/>
          <w:szCs w:val="18"/>
          <w:lang w:val="sk-SK"/>
        </w:rPr>
        <w:t>Bratislav</w:t>
      </w:r>
      <w:r w:rsidR="00E014C1" w:rsidRPr="00F12436">
        <w:rPr>
          <w:rFonts w:ascii="Arial" w:hAnsi="Arial" w:cs="Arial"/>
          <w:b/>
          <w:sz w:val="18"/>
          <w:szCs w:val="18"/>
          <w:lang w:val="sk-SK"/>
        </w:rPr>
        <w:t>e</w:t>
      </w:r>
      <w:r w:rsidR="00034978" w:rsidRPr="00F12436">
        <w:rPr>
          <w:rFonts w:ascii="Arial" w:hAnsi="Arial" w:cs="Arial"/>
          <w:b/>
          <w:sz w:val="18"/>
          <w:szCs w:val="18"/>
          <w:lang w:val="sk-SK"/>
        </w:rPr>
        <w:t xml:space="preserve"> </w:t>
      </w:r>
      <w:r w:rsidR="008221A0">
        <w:rPr>
          <w:rFonts w:ascii="Arial" w:hAnsi="Arial" w:cs="Arial"/>
          <w:b/>
          <w:sz w:val="18"/>
          <w:szCs w:val="18"/>
          <w:lang w:val="sk-SK"/>
        </w:rPr>
        <w:t>vyše</w:t>
      </w:r>
      <w:r w:rsidR="009D107E" w:rsidRPr="00F12436">
        <w:rPr>
          <w:rFonts w:ascii="Arial" w:hAnsi="Arial" w:cs="Arial"/>
          <w:b/>
          <w:sz w:val="18"/>
          <w:szCs w:val="18"/>
          <w:lang w:val="sk-SK"/>
        </w:rPr>
        <w:t xml:space="preserve"> </w:t>
      </w:r>
      <w:r w:rsidR="00831C60" w:rsidRPr="00F12436">
        <w:rPr>
          <w:rFonts w:ascii="Arial" w:hAnsi="Arial" w:cs="Arial"/>
          <w:b/>
          <w:sz w:val="18"/>
          <w:szCs w:val="18"/>
          <w:lang w:val="sk-SK"/>
        </w:rPr>
        <w:t>1,</w:t>
      </w:r>
      <w:r w:rsidR="006211BF" w:rsidRPr="00F12436">
        <w:rPr>
          <w:rFonts w:ascii="Arial" w:hAnsi="Arial" w:cs="Arial"/>
          <w:b/>
          <w:sz w:val="18"/>
          <w:szCs w:val="18"/>
          <w:lang w:val="sk-SK"/>
        </w:rPr>
        <w:t>8</w:t>
      </w:r>
      <w:r w:rsidR="00103B32" w:rsidRPr="00F12436">
        <w:rPr>
          <w:rFonts w:ascii="Arial" w:hAnsi="Arial" w:cs="Arial"/>
          <w:b/>
          <w:sz w:val="18"/>
          <w:szCs w:val="18"/>
          <w:lang w:val="sk-SK"/>
        </w:rPr>
        <w:t xml:space="preserve"> </w:t>
      </w:r>
      <w:r w:rsidR="00D22CEF" w:rsidRPr="00F12436">
        <w:rPr>
          <w:rFonts w:ascii="Arial" w:hAnsi="Arial" w:cs="Arial"/>
          <w:b/>
          <w:sz w:val="18"/>
          <w:szCs w:val="18"/>
          <w:lang w:val="sk-SK"/>
        </w:rPr>
        <w:t>milióna</w:t>
      </w:r>
      <w:r w:rsidR="009D1BD0" w:rsidRPr="00F12436">
        <w:rPr>
          <w:rFonts w:ascii="Arial" w:hAnsi="Arial" w:cs="Arial"/>
          <w:b/>
          <w:sz w:val="18"/>
          <w:szCs w:val="18"/>
          <w:lang w:val="sk-SK"/>
        </w:rPr>
        <w:t xml:space="preserve"> m²</w:t>
      </w:r>
      <w:r w:rsidR="001F19F2" w:rsidRPr="00F12436">
        <w:rPr>
          <w:rFonts w:ascii="Arial" w:hAnsi="Arial" w:cs="Arial"/>
          <w:b/>
          <w:sz w:val="18"/>
          <w:szCs w:val="18"/>
          <w:lang w:val="sk-SK"/>
        </w:rPr>
        <w:t xml:space="preserve">. </w:t>
      </w:r>
      <w:r w:rsidR="00D14884" w:rsidRPr="00F12436">
        <w:rPr>
          <w:rFonts w:ascii="Arial" w:hAnsi="Arial" w:cs="Arial"/>
          <w:b/>
          <w:sz w:val="18"/>
          <w:szCs w:val="18"/>
          <w:lang w:val="sk-SK"/>
        </w:rPr>
        <w:t>6</w:t>
      </w:r>
      <w:r w:rsidR="002D7156" w:rsidRPr="00F12436">
        <w:rPr>
          <w:rFonts w:ascii="Arial" w:hAnsi="Arial" w:cs="Arial"/>
          <w:b/>
          <w:sz w:val="18"/>
          <w:szCs w:val="18"/>
          <w:lang w:val="sk-SK"/>
        </w:rPr>
        <w:t>2</w:t>
      </w:r>
      <w:r w:rsidR="002A1C5F">
        <w:rPr>
          <w:rFonts w:ascii="Arial" w:hAnsi="Arial" w:cs="Arial"/>
          <w:b/>
          <w:sz w:val="18"/>
          <w:szCs w:val="18"/>
          <w:lang w:val="sk-SK"/>
        </w:rPr>
        <w:t xml:space="preserve"> </w:t>
      </w:r>
      <w:r w:rsidR="004E7ABF" w:rsidRPr="00F12436">
        <w:rPr>
          <w:rFonts w:ascii="Arial" w:hAnsi="Arial" w:cs="Arial"/>
          <w:b/>
          <w:sz w:val="18"/>
          <w:szCs w:val="18"/>
          <w:lang w:val="sk-SK"/>
        </w:rPr>
        <w:t>%</w:t>
      </w:r>
      <w:r w:rsidR="009D1BD0" w:rsidRPr="00F12436">
        <w:rPr>
          <w:rFonts w:ascii="Arial" w:hAnsi="Arial" w:cs="Arial"/>
          <w:b/>
          <w:sz w:val="18"/>
          <w:szCs w:val="18"/>
          <w:lang w:val="sk-SK"/>
        </w:rPr>
        <w:t xml:space="preserve"> z tejto ponuky </w:t>
      </w:r>
      <w:r w:rsidR="00657EF6">
        <w:rPr>
          <w:rFonts w:ascii="Arial" w:hAnsi="Arial" w:cs="Arial"/>
          <w:b/>
          <w:sz w:val="18"/>
          <w:szCs w:val="18"/>
          <w:lang w:val="sk-SK"/>
        </w:rPr>
        <w:t xml:space="preserve">naďalej </w:t>
      </w:r>
      <w:r w:rsidR="009D1BD0" w:rsidRPr="00F12436">
        <w:rPr>
          <w:rFonts w:ascii="Arial" w:hAnsi="Arial" w:cs="Arial"/>
          <w:b/>
          <w:sz w:val="18"/>
          <w:szCs w:val="18"/>
          <w:lang w:val="sk-SK"/>
        </w:rPr>
        <w:t>tvoria kancelár</w:t>
      </w:r>
      <w:r w:rsidR="00CD60B2" w:rsidRPr="00F12436">
        <w:rPr>
          <w:rFonts w:ascii="Arial" w:hAnsi="Arial" w:cs="Arial"/>
          <w:b/>
          <w:sz w:val="18"/>
          <w:szCs w:val="18"/>
          <w:lang w:val="sk-SK"/>
        </w:rPr>
        <w:t>ske priestory v štandarde A </w:t>
      </w:r>
      <w:proofErr w:type="spellStart"/>
      <w:r w:rsidR="00CD60B2" w:rsidRPr="00F12436">
        <w:rPr>
          <w:rFonts w:ascii="Arial" w:hAnsi="Arial" w:cs="Arial"/>
          <w:b/>
          <w:sz w:val="18"/>
          <w:szCs w:val="18"/>
          <w:lang w:val="sk-SK"/>
        </w:rPr>
        <w:t>a</w:t>
      </w:r>
      <w:proofErr w:type="spellEnd"/>
      <w:r w:rsidR="002A1C5F">
        <w:rPr>
          <w:rFonts w:ascii="Arial" w:hAnsi="Arial" w:cs="Arial"/>
          <w:b/>
          <w:sz w:val="18"/>
          <w:szCs w:val="18"/>
          <w:lang w:val="sk-SK"/>
        </w:rPr>
        <w:t> </w:t>
      </w:r>
      <w:r w:rsidR="006211BF" w:rsidRPr="00F12436">
        <w:rPr>
          <w:rFonts w:ascii="Arial" w:hAnsi="Arial" w:cs="Arial"/>
          <w:b/>
          <w:sz w:val="18"/>
          <w:szCs w:val="18"/>
          <w:lang w:val="sk-SK"/>
        </w:rPr>
        <w:t>3</w:t>
      </w:r>
      <w:r w:rsidR="002D7156" w:rsidRPr="00F12436">
        <w:rPr>
          <w:rFonts w:ascii="Arial" w:hAnsi="Arial" w:cs="Arial"/>
          <w:b/>
          <w:sz w:val="18"/>
          <w:szCs w:val="18"/>
          <w:lang w:val="sk-SK"/>
        </w:rPr>
        <w:t>8</w:t>
      </w:r>
      <w:r w:rsidR="002A1C5F">
        <w:rPr>
          <w:rFonts w:ascii="Arial" w:hAnsi="Arial" w:cs="Arial"/>
          <w:b/>
          <w:sz w:val="18"/>
          <w:szCs w:val="18"/>
          <w:lang w:val="sk-SK"/>
        </w:rPr>
        <w:t xml:space="preserve"> </w:t>
      </w:r>
      <w:r w:rsidR="009D1BD0" w:rsidRPr="00F12436">
        <w:rPr>
          <w:rFonts w:ascii="Arial" w:hAnsi="Arial" w:cs="Arial"/>
          <w:b/>
          <w:sz w:val="18"/>
          <w:szCs w:val="18"/>
          <w:lang w:val="sk-SK"/>
        </w:rPr>
        <w:t>% kancelárske priestory v štandarde B.</w:t>
      </w:r>
    </w:p>
    <w:p w:rsidR="00F12436" w:rsidRDefault="00F12436" w:rsidP="00F12436">
      <w:pPr>
        <w:jc w:val="both"/>
        <w:outlineLvl w:val="0"/>
        <w:rPr>
          <w:rFonts w:ascii="Arial" w:hAnsi="Arial" w:cs="Arial"/>
          <w:sz w:val="18"/>
          <w:szCs w:val="18"/>
          <w:lang w:val="sk-SK" w:eastAsia="cs-CZ"/>
        </w:rPr>
      </w:pPr>
    </w:p>
    <w:p w:rsidR="00F12436" w:rsidRDefault="00F12436" w:rsidP="00F12436">
      <w:pPr>
        <w:jc w:val="both"/>
        <w:outlineLvl w:val="0"/>
        <w:rPr>
          <w:rFonts w:ascii="Arial" w:hAnsi="Arial" w:cs="Arial"/>
          <w:sz w:val="18"/>
          <w:szCs w:val="18"/>
          <w:lang w:val="sk-SK"/>
        </w:rPr>
      </w:pPr>
      <w:bookmarkStart w:id="3" w:name="_Hlk511379476"/>
      <w:r>
        <w:rPr>
          <w:rFonts w:ascii="Arial" w:hAnsi="Arial" w:cs="Arial"/>
          <w:sz w:val="18"/>
          <w:szCs w:val="18"/>
          <w:lang w:val="sk-SK"/>
        </w:rPr>
        <w:t>V </w:t>
      </w:r>
      <w:r w:rsidR="00657EF6">
        <w:rPr>
          <w:rFonts w:ascii="Arial" w:hAnsi="Arial" w:cs="Arial"/>
          <w:sz w:val="18"/>
          <w:szCs w:val="18"/>
          <w:lang w:val="sk-SK"/>
        </w:rPr>
        <w:t>treťom</w:t>
      </w:r>
      <w:r>
        <w:rPr>
          <w:rFonts w:ascii="Arial" w:hAnsi="Arial" w:cs="Arial"/>
          <w:sz w:val="18"/>
          <w:szCs w:val="18"/>
          <w:lang w:val="sk-SK"/>
        </w:rPr>
        <w:t xml:space="preserve"> kvartáli tohto roka </w:t>
      </w:r>
      <w:r w:rsidR="00657EF6">
        <w:rPr>
          <w:rFonts w:ascii="Arial" w:hAnsi="Arial" w:cs="Arial"/>
          <w:sz w:val="18"/>
          <w:szCs w:val="18"/>
          <w:lang w:val="sk-SK"/>
        </w:rPr>
        <w:t>ne</w:t>
      </w:r>
      <w:r w:rsidR="00200133">
        <w:rPr>
          <w:rFonts w:ascii="Arial" w:hAnsi="Arial" w:cs="Arial"/>
          <w:sz w:val="18"/>
          <w:szCs w:val="18"/>
          <w:lang w:val="sk-SK"/>
        </w:rPr>
        <w:t xml:space="preserve">bola </w:t>
      </w:r>
      <w:r w:rsidR="00657EF6">
        <w:rPr>
          <w:rFonts w:ascii="Arial" w:hAnsi="Arial" w:cs="Arial"/>
          <w:sz w:val="18"/>
          <w:szCs w:val="18"/>
          <w:lang w:val="sk-SK"/>
        </w:rPr>
        <w:t xml:space="preserve">v Bratislave </w:t>
      </w:r>
      <w:r w:rsidR="00200133">
        <w:rPr>
          <w:rFonts w:ascii="Arial" w:hAnsi="Arial" w:cs="Arial"/>
          <w:sz w:val="18"/>
          <w:szCs w:val="18"/>
          <w:lang w:val="sk-SK"/>
        </w:rPr>
        <w:t>skolaudovaná</w:t>
      </w:r>
      <w:r>
        <w:rPr>
          <w:rFonts w:ascii="Arial" w:hAnsi="Arial" w:cs="Arial"/>
          <w:sz w:val="18"/>
          <w:szCs w:val="18"/>
          <w:lang w:val="sk-SK"/>
        </w:rPr>
        <w:t xml:space="preserve"> </w:t>
      </w:r>
      <w:r w:rsidR="00657EF6">
        <w:rPr>
          <w:rFonts w:ascii="Arial" w:hAnsi="Arial" w:cs="Arial"/>
          <w:sz w:val="18"/>
          <w:szCs w:val="18"/>
          <w:lang w:val="sk-SK"/>
        </w:rPr>
        <w:t xml:space="preserve">žiadna nová kancelárska </w:t>
      </w:r>
      <w:r>
        <w:rPr>
          <w:rFonts w:ascii="Arial" w:hAnsi="Arial" w:cs="Arial"/>
          <w:sz w:val="18"/>
          <w:szCs w:val="18"/>
          <w:lang w:val="sk-SK"/>
        </w:rPr>
        <w:t>budov</w:t>
      </w:r>
      <w:r w:rsidR="00200133">
        <w:rPr>
          <w:rFonts w:ascii="Arial" w:hAnsi="Arial" w:cs="Arial"/>
          <w:sz w:val="18"/>
          <w:szCs w:val="18"/>
          <w:lang w:val="sk-SK"/>
        </w:rPr>
        <w:t>a</w:t>
      </w:r>
      <w:r w:rsidR="00657EF6">
        <w:rPr>
          <w:rFonts w:ascii="Arial" w:hAnsi="Arial" w:cs="Arial"/>
          <w:sz w:val="18"/>
          <w:szCs w:val="18"/>
          <w:lang w:val="sk-SK"/>
        </w:rPr>
        <w:t xml:space="preserve">. </w:t>
      </w:r>
      <w:r w:rsidRPr="00895AFB">
        <w:rPr>
          <w:rFonts w:ascii="Arial" w:hAnsi="Arial" w:cs="Arial"/>
          <w:sz w:val="18"/>
          <w:szCs w:val="18"/>
          <w:lang w:val="sk-SK"/>
        </w:rPr>
        <w:t xml:space="preserve">Vo výstavbe zostáva v Bratislave </w:t>
      </w:r>
      <w:r w:rsidR="008221A0">
        <w:rPr>
          <w:rFonts w:ascii="Arial" w:hAnsi="Arial" w:cs="Arial"/>
          <w:sz w:val="18"/>
          <w:szCs w:val="18"/>
          <w:lang w:val="sk-SK"/>
        </w:rPr>
        <w:t>sedem</w:t>
      </w:r>
      <w:r>
        <w:rPr>
          <w:rFonts w:ascii="Arial" w:hAnsi="Arial" w:cs="Arial"/>
          <w:sz w:val="18"/>
          <w:szCs w:val="18"/>
          <w:lang w:val="sk-SK"/>
        </w:rPr>
        <w:t xml:space="preserve"> </w:t>
      </w:r>
      <w:r w:rsidRPr="00895AFB">
        <w:rPr>
          <w:rFonts w:ascii="Arial" w:hAnsi="Arial" w:cs="Arial"/>
          <w:sz w:val="18"/>
          <w:szCs w:val="18"/>
          <w:lang w:val="sk-SK"/>
        </w:rPr>
        <w:t xml:space="preserve">kancelárskych budov, ktoré v rokoch 2019 a 2020 prinesú na trh približne </w:t>
      </w:r>
      <w:r w:rsidR="008221A0">
        <w:rPr>
          <w:rFonts w:ascii="Arial" w:hAnsi="Arial" w:cs="Arial"/>
          <w:sz w:val="18"/>
          <w:szCs w:val="18"/>
          <w:lang w:val="sk-SK"/>
        </w:rPr>
        <w:t>118</w:t>
      </w:r>
      <w:r w:rsidRPr="00895AFB">
        <w:rPr>
          <w:rFonts w:ascii="Arial" w:hAnsi="Arial" w:cs="Arial"/>
          <w:sz w:val="18"/>
          <w:szCs w:val="18"/>
          <w:lang w:val="sk-SK"/>
        </w:rPr>
        <w:t> 000 m</w:t>
      </w:r>
      <w:r w:rsidRPr="002A1C5F">
        <w:rPr>
          <w:rFonts w:ascii="Arial" w:hAnsi="Arial" w:cs="Arial"/>
          <w:sz w:val="18"/>
          <w:szCs w:val="18"/>
          <w:vertAlign w:val="superscript"/>
          <w:lang w:val="sk-SK"/>
        </w:rPr>
        <w:t>2</w:t>
      </w:r>
      <w:r w:rsidRPr="00895AFB">
        <w:rPr>
          <w:rFonts w:ascii="Arial" w:hAnsi="Arial" w:cs="Arial"/>
          <w:sz w:val="18"/>
          <w:szCs w:val="18"/>
          <w:lang w:val="sk-SK"/>
        </w:rPr>
        <w:t xml:space="preserve"> moderných kancelárskych priestorov.</w:t>
      </w:r>
    </w:p>
    <w:p w:rsidR="00F12436" w:rsidRDefault="00F12436" w:rsidP="00F12436">
      <w:pPr>
        <w:jc w:val="both"/>
        <w:outlineLvl w:val="0"/>
        <w:rPr>
          <w:rFonts w:ascii="Arial" w:hAnsi="Arial" w:cs="Arial"/>
          <w:sz w:val="18"/>
          <w:szCs w:val="18"/>
          <w:lang w:val="sk-SK"/>
        </w:rPr>
      </w:pPr>
    </w:p>
    <w:p w:rsidR="00F12436" w:rsidRPr="00574CAA" w:rsidRDefault="00F12436" w:rsidP="00F12436">
      <w:pPr>
        <w:jc w:val="both"/>
        <w:outlineLvl w:val="0"/>
        <w:rPr>
          <w:rFonts w:ascii="Arial" w:hAnsi="Arial" w:cs="Arial"/>
          <w:sz w:val="18"/>
          <w:szCs w:val="18"/>
          <w:lang w:val="sk-SK"/>
        </w:rPr>
      </w:pPr>
    </w:p>
    <w:p w:rsidR="00F12436" w:rsidRPr="00574CAA" w:rsidRDefault="00F12436" w:rsidP="00F12436">
      <w:pPr>
        <w:jc w:val="both"/>
        <w:rPr>
          <w:rFonts w:ascii="Arial" w:hAnsi="Arial" w:cs="Arial"/>
          <w:b/>
          <w:lang w:val="sk-SK"/>
        </w:rPr>
      </w:pPr>
      <w:r w:rsidRPr="00574CAA">
        <w:rPr>
          <w:rFonts w:ascii="Arial" w:hAnsi="Arial" w:cs="Arial"/>
          <w:b/>
          <w:lang w:val="sk-SK"/>
        </w:rPr>
        <w:t>Zelené budovy</w:t>
      </w:r>
    </w:p>
    <w:p w:rsidR="00F12436" w:rsidRPr="00574CAA" w:rsidRDefault="00F12436" w:rsidP="00F12436">
      <w:pPr>
        <w:jc w:val="both"/>
        <w:rPr>
          <w:rFonts w:ascii="Arial" w:hAnsi="Arial" w:cs="Arial"/>
          <w:sz w:val="18"/>
          <w:szCs w:val="18"/>
          <w:lang w:val="sk-SK"/>
        </w:rPr>
      </w:pPr>
    </w:p>
    <w:p w:rsidR="00F12436" w:rsidRPr="005D218F" w:rsidRDefault="00F12436" w:rsidP="00F12436">
      <w:pPr>
        <w:jc w:val="both"/>
        <w:rPr>
          <w:rFonts w:ascii="Arial" w:hAnsi="Arial" w:cs="Arial"/>
          <w:sz w:val="18"/>
          <w:szCs w:val="18"/>
          <w:lang w:val="sk-SK"/>
        </w:rPr>
      </w:pPr>
      <w:r w:rsidRPr="00574CAA">
        <w:rPr>
          <w:rFonts w:ascii="Arial" w:hAnsi="Arial" w:cs="Arial"/>
          <w:sz w:val="18"/>
          <w:szCs w:val="18"/>
          <w:lang w:val="sk-SK"/>
        </w:rPr>
        <w:t xml:space="preserve">V rámci celkovej ponuky kancelárskych priestorov má </w:t>
      </w:r>
      <w:r>
        <w:rPr>
          <w:rFonts w:ascii="Arial" w:hAnsi="Arial" w:cs="Arial"/>
          <w:sz w:val="18"/>
          <w:szCs w:val="18"/>
          <w:lang w:val="sk-SK"/>
        </w:rPr>
        <w:t>32</w:t>
      </w:r>
      <w:r w:rsidRPr="00574CAA">
        <w:rPr>
          <w:rFonts w:ascii="Arial" w:hAnsi="Arial" w:cs="Arial"/>
          <w:sz w:val="18"/>
          <w:szCs w:val="18"/>
          <w:lang w:val="sk-SK"/>
        </w:rPr>
        <w:t xml:space="preserve"> budov (v celkovej výmere viac ako </w:t>
      </w:r>
      <w:r>
        <w:rPr>
          <w:rFonts w:ascii="Arial" w:hAnsi="Arial" w:cs="Arial"/>
          <w:sz w:val="18"/>
          <w:szCs w:val="18"/>
          <w:lang w:val="sk-SK"/>
        </w:rPr>
        <w:t>621</w:t>
      </w:r>
      <w:r w:rsidRPr="00574CAA">
        <w:rPr>
          <w:rFonts w:ascii="Arial" w:hAnsi="Arial" w:cs="Arial"/>
          <w:sz w:val="18"/>
          <w:szCs w:val="18"/>
          <w:lang w:val="sk-SK"/>
        </w:rPr>
        <w:t xml:space="preserve"> tisíc m</w:t>
      </w:r>
      <w:r w:rsidRPr="00574CAA">
        <w:rPr>
          <w:rFonts w:ascii="Arial" w:hAnsi="Arial" w:cs="Arial"/>
          <w:sz w:val="18"/>
          <w:szCs w:val="18"/>
          <w:vertAlign w:val="superscript"/>
          <w:lang w:val="sk-SK"/>
        </w:rPr>
        <w:t>2</w:t>
      </w:r>
      <w:r w:rsidRPr="00574CAA">
        <w:rPr>
          <w:rFonts w:ascii="Arial" w:hAnsi="Arial" w:cs="Arial"/>
          <w:sz w:val="18"/>
          <w:szCs w:val="18"/>
          <w:lang w:val="sk-SK"/>
        </w:rPr>
        <w:t xml:space="preserve"> alebo </w:t>
      </w:r>
      <w:r>
        <w:rPr>
          <w:rFonts w:ascii="Arial" w:hAnsi="Arial" w:cs="Arial"/>
          <w:sz w:val="18"/>
          <w:szCs w:val="18"/>
          <w:lang w:val="sk-SK"/>
        </w:rPr>
        <w:t>3</w:t>
      </w:r>
      <w:r w:rsidR="00657EF6">
        <w:rPr>
          <w:rFonts w:ascii="Arial" w:hAnsi="Arial" w:cs="Arial"/>
          <w:sz w:val="18"/>
          <w:szCs w:val="18"/>
          <w:lang w:val="sk-SK"/>
        </w:rPr>
        <w:t>4</w:t>
      </w:r>
      <w:r w:rsidR="002A1C5F">
        <w:rPr>
          <w:rFonts w:ascii="Arial" w:hAnsi="Arial" w:cs="Arial"/>
          <w:sz w:val="18"/>
          <w:szCs w:val="18"/>
          <w:lang w:val="sk-SK"/>
        </w:rPr>
        <w:t xml:space="preserve"> </w:t>
      </w:r>
      <w:r w:rsidRPr="00574CAA">
        <w:rPr>
          <w:rFonts w:ascii="Arial" w:hAnsi="Arial" w:cs="Arial"/>
          <w:sz w:val="18"/>
          <w:szCs w:val="18"/>
          <w:lang w:val="sk-SK"/>
        </w:rPr>
        <w:t>% z celkového objemu)</w:t>
      </w:r>
      <w:r>
        <w:rPr>
          <w:rFonts w:ascii="Arial" w:hAnsi="Arial" w:cs="Arial"/>
          <w:sz w:val="18"/>
          <w:szCs w:val="18"/>
          <w:lang w:val="sk-SK"/>
        </w:rPr>
        <w:t xml:space="preserve"> jeden z certifikátov</w:t>
      </w:r>
      <w:r w:rsidRPr="00574CAA">
        <w:rPr>
          <w:rFonts w:ascii="Arial" w:hAnsi="Arial" w:cs="Arial"/>
          <w:sz w:val="18"/>
          <w:szCs w:val="18"/>
          <w:lang w:val="sk-SK"/>
        </w:rPr>
        <w:t xml:space="preserve"> zelenej budovy / trvalo udržateľnej budovy – buď certifikáciu LEED alebo BREEAM.</w:t>
      </w:r>
      <w:r w:rsidRPr="005D218F">
        <w:rPr>
          <w:rFonts w:ascii="Arial" w:hAnsi="Arial" w:cs="Arial"/>
          <w:sz w:val="18"/>
          <w:szCs w:val="18"/>
          <w:lang w:val="sk-SK"/>
        </w:rPr>
        <w:t xml:space="preserve"> </w:t>
      </w:r>
    </w:p>
    <w:p w:rsidR="00F12436" w:rsidRDefault="00F12436" w:rsidP="00F12436">
      <w:pPr>
        <w:jc w:val="both"/>
        <w:outlineLvl w:val="0"/>
        <w:rPr>
          <w:rFonts w:ascii="Arial" w:hAnsi="Arial" w:cs="Arial"/>
          <w:b/>
          <w:bCs/>
          <w:lang w:val="sk-SK"/>
        </w:rPr>
      </w:pPr>
    </w:p>
    <w:p w:rsidR="00F12436" w:rsidRDefault="00F12436" w:rsidP="00F12436">
      <w:pPr>
        <w:jc w:val="both"/>
        <w:outlineLvl w:val="0"/>
        <w:rPr>
          <w:rFonts w:ascii="Arial" w:hAnsi="Arial" w:cs="Arial"/>
          <w:b/>
          <w:bCs/>
          <w:lang w:val="sk-SK"/>
        </w:rPr>
      </w:pPr>
    </w:p>
    <w:p w:rsidR="00F12436" w:rsidRPr="005D218F" w:rsidRDefault="00F12436" w:rsidP="00F12436">
      <w:pPr>
        <w:jc w:val="both"/>
        <w:outlineLvl w:val="0"/>
        <w:rPr>
          <w:rFonts w:ascii="Arial" w:hAnsi="Arial" w:cs="Arial"/>
          <w:b/>
          <w:bCs/>
          <w:lang w:val="sk-SK"/>
        </w:rPr>
      </w:pPr>
      <w:r w:rsidRPr="005D218F">
        <w:rPr>
          <w:rFonts w:ascii="Arial" w:hAnsi="Arial" w:cs="Arial"/>
          <w:b/>
          <w:bCs/>
          <w:lang w:val="sk-SK"/>
        </w:rPr>
        <w:t>Tran</w:t>
      </w:r>
      <w:r>
        <w:rPr>
          <w:rFonts w:ascii="Arial" w:hAnsi="Arial" w:cs="Arial"/>
          <w:b/>
          <w:bCs/>
          <w:lang w:val="sk-SK"/>
        </w:rPr>
        <w:t>s</w:t>
      </w:r>
      <w:r w:rsidRPr="005D218F">
        <w:rPr>
          <w:rFonts w:ascii="Arial" w:hAnsi="Arial" w:cs="Arial"/>
          <w:b/>
          <w:bCs/>
          <w:lang w:val="sk-SK"/>
        </w:rPr>
        <w:t xml:space="preserve">akcie na trhu kancelárskych priestorov (Office </w:t>
      </w:r>
      <w:proofErr w:type="spellStart"/>
      <w:r w:rsidRPr="005D218F">
        <w:rPr>
          <w:rFonts w:ascii="Arial" w:hAnsi="Arial" w:cs="Arial"/>
          <w:b/>
          <w:bCs/>
          <w:lang w:val="sk-SK"/>
        </w:rPr>
        <w:t>Take-up</w:t>
      </w:r>
      <w:proofErr w:type="spellEnd"/>
      <w:r w:rsidRPr="005D218F">
        <w:rPr>
          <w:rFonts w:ascii="Arial" w:hAnsi="Arial" w:cs="Arial"/>
          <w:b/>
          <w:bCs/>
          <w:lang w:val="sk-SK"/>
        </w:rPr>
        <w:t>)</w:t>
      </w:r>
    </w:p>
    <w:p w:rsidR="00F12436" w:rsidRPr="005D218F" w:rsidRDefault="00F12436" w:rsidP="00F12436">
      <w:pPr>
        <w:jc w:val="both"/>
        <w:rPr>
          <w:rFonts w:ascii="Arial" w:hAnsi="Arial" w:cs="Arial"/>
          <w:sz w:val="18"/>
          <w:szCs w:val="18"/>
          <w:lang w:val="sk-SK"/>
        </w:rPr>
      </w:pPr>
    </w:p>
    <w:p w:rsidR="00F12436" w:rsidRPr="00CB446C" w:rsidRDefault="00F12436" w:rsidP="00F12436">
      <w:pPr>
        <w:jc w:val="both"/>
        <w:rPr>
          <w:rFonts w:ascii="Arial" w:hAnsi="Arial" w:cs="Arial"/>
          <w:sz w:val="18"/>
          <w:szCs w:val="18"/>
          <w:lang w:val="sk-SK"/>
        </w:rPr>
      </w:pPr>
      <w:r w:rsidRPr="00574CAA">
        <w:rPr>
          <w:rFonts w:ascii="Arial" w:hAnsi="Arial" w:cs="Arial"/>
          <w:sz w:val="18"/>
          <w:szCs w:val="18"/>
          <w:lang w:val="sk-SK" w:eastAsia="cs-CZ"/>
        </w:rPr>
        <w:t xml:space="preserve">Transakcie, ktoré boli uzatvorené počas </w:t>
      </w:r>
      <w:r w:rsidR="00657EF6">
        <w:rPr>
          <w:rFonts w:ascii="Arial" w:hAnsi="Arial" w:cs="Arial"/>
          <w:sz w:val="18"/>
          <w:szCs w:val="18"/>
          <w:lang w:val="sk-SK" w:eastAsia="cs-CZ"/>
        </w:rPr>
        <w:t>tretieho</w:t>
      </w:r>
      <w:r w:rsidRPr="00574CAA">
        <w:rPr>
          <w:rFonts w:ascii="Arial" w:hAnsi="Arial" w:cs="Arial"/>
          <w:sz w:val="18"/>
          <w:szCs w:val="18"/>
          <w:lang w:val="sk-SK" w:eastAsia="cs-CZ"/>
        </w:rPr>
        <w:t xml:space="preserve"> kvartálu 201</w:t>
      </w:r>
      <w:r>
        <w:rPr>
          <w:rFonts w:ascii="Arial" w:hAnsi="Arial" w:cs="Arial"/>
          <w:sz w:val="18"/>
          <w:szCs w:val="18"/>
          <w:lang w:val="sk-SK" w:eastAsia="cs-CZ"/>
        </w:rPr>
        <w:t>9</w:t>
      </w:r>
      <w:r w:rsidRPr="00574CAA">
        <w:rPr>
          <w:rFonts w:ascii="Arial" w:hAnsi="Arial" w:cs="Arial"/>
          <w:sz w:val="18"/>
          <w:szCs w:val="18"/>
          <w:lang w:val="sk-SK" w:eastAsia="cs-CZ"/>
        </w:rPr>
        <w:t>, dosiahli</w:t>
      </w:r>
      <w:r>
        <w:rPr>
          <w:rFonts w:ascii="Arial" w:hAnsi="Arial" w:cs="Arial"/>
          <w:sz w:val="18"/>
          <w:szCs w:val="18"/>
          <w:lang w:val="sk-SK" w:eastAsia="cs-CZ"/>
        </w:rPr>
        <w:t xml:space="preserve"> celkovú</w:t>
      </w:r>
      <w:r w:rsidRPr="00574CAA">
        <w:rPr>
          <w:rFonts w:ascii="Arial" w:hAnsi="Arial" w:cs="Arial"/>
          <w:sz w:val="18"/>
          <w:szCs w:val="18"/>
          <w:lang w:val="sk-SK" w:eastAsia="cs-CZ"/>
        </w:rPr>
        <w:t xml:space="preserve"> výmeru </w:t>
      </w:r>
      <w:r w:rsidR="008221A0">
        <w:rPr>
          <w:rFonts w:ascii="Arial" w:hAnsi="Arial" w:cs="Arial"/>
          <w:sz w:val="18"/>
          <w:szCs w:val="18"/>
          <w:lang w:val="sk-SK" w:eastAsia="cs-CZ"/>
        </w:rPr>
        <w:t>necelých</w:t>
      </w:r>
      <w:r>
        <w:rPr>
          <w:rFonts w:ascii="Arial" w:hAnsi="Arial" w:cs="Arial"/>
          <w:sz w:val="18"/>
          <w:szCs w:val="18"/>
          <w:lang w:val="sk-SK" w:eastAsia="cs-CZ"/>
        </w:rPr>
        <w:t xml:space="preserve"> </w:t>
      </w:r>
      <w:r w:rsidR="00657EF6">
        <w:rPr>
          <w:rFonts w:ascii="Arial" w:hAnsi="Arial" w:cs="Arial"/>
          <w:b/>
          <w:sz w:val="18"/>
          <w:szCs w:val="18"/>
          <w:lang w:val="sk-SK" w:eastAsia="cs-CZ"/>
        </w:rPr>
        <w:t>27</w:t>
      </w:r>
      <w:r w:rsidR="00200133" w:rsidRPr="00C63A6A">
        <w:rPr>
          <w:rFonts w:ascii="Arial" w:hAnsi="Arial" w:cs="Arial"/>
          <w:b/>
          <w:sz w:val="18"/>
          <w:szCs w:val="18"/>
          <w:lang w:val="sk-SK" w:eastAsia="cs-CZ"/>
        </w:rPr>
        <w:t xml:space="preserve"> 000</w:t>
      </w:r>
      <w:r w:rsidRPr="00C63A6A">
        <w:rPr>
          <w:rFonts w:ascii="Arial" w:hAnsi="Arial" w:cs="Arial"/>
          <w:b/>
          <w:sz w:val="18"/>
          <w:szCs w:val="18"/>
          <w:lang w:val="sk-SK" w:eastAsia="cs-CZ"/>
        </w:rPr>
        <w:t xml:space="preserve"> </w:t>
      </w:r>
      <w:r w:rsidRPr="00C63A6A">
        <w:rPr>
          <w:rFonts w:ascii="Arial" w:hAnsi="Arial" w:cs="Arial"/>
          <w:b/>
          <w:sz w:val="18"/>
          <w:szCs w:val="18"/>
          <w:lang w:val="sk-SK"/>
        </w:rPr>
        <w:t>m</w:t>
      </w:r>
      <w:r w:rsidRPr="00574CAA">
        <w:rPr>
          <w:rFonts w:ascii="Arial" w:hAnsi="Arial" w:cs="Arial"/>
          <w:sz w:val="18"/>
          <w:szCs w:val="18"/>
          <w:lang w:val="sk-SK"/>
        </w:rPr>
        <w:t>², čo v porovnaní s</w:t>
      </w:r>
      <w:r>
        <w:rPr>
          <w:rFonts w:ascii="Arial" w:hAnsi="Arial" w:cs="Arial"/>
          <w:sz w:val="18"/>
          <w:szCs w:val="18"/>
          <w:lang w:val="sk-SK"/>
        </w:rPr>
        <w:t xml:space="preserve"> </w:t>
      </w:r>
      <w:r w:rsidR="00657EF6">
        <w:rPr>
          <w:rFonts w:ascii="Arial" w:hAnsi="Arial" w:cs="Arial"/>
          <w:sz w:val="18"/>
          <w:szCs w:val="18"/>
          <w:lang w:val="sk-SK"/>
        </w:rPr>
        <w:t>druh</w:t>
      </w:r>
      <w:r w:rsidR="00200133">
        <w:rPr>
          <w:rFonts w:ascii="Arial" w:hAnsi="Arial" w:cs="Arial"/>
          <w:sz w:val="18"/>
          <w:szCs w:val="18"/>
          <w:lang w:val="sk-SK"/>
        </w:rPr>
        <w:t>ým</w:t>
      </w:r>
      <w:r>
        <w:rPr>
          <w:rFonts w:ascii="Arial" w:hAnsi="Arial" w:cs="Arial"/>
          <w:sz w:val="18"/>
          <w:szCs w:val="18"/>
          <w:lang w:val="sk-SK"/>
        </w:rPr>
        <w:t xml:space="preserve"> </w:t>
      </w:r>
      <w:r w:rsidRPr="00574CAA">
        <w:rPr>
          <w:rFonts w:ascii="Arial" w:hAnsi="Arial" w:cs="Arial"/>
          <w:sz w:val="18"/>
          <w:szCs w:val="18"/>
          <w:lang w:val="sk-SK"/>
        </w:rPr>
        <w:t>kvartálom</w:t>
      </w:r>
      <w:r>
        <w:rPr>
          <w:rFonts w:ascii="Arial" w:hAnsi="Arial" w:cs="Arial"/>
          <w:sz w:val="18"/>
          <w:szCs w:val="18"/>
          <w:lang w:val="sk-SK"/>
        </w:rPr>
        <w:t xml:space="preserve"> 201</w:t>
      </w:r>
      <w:r w:rsidR="00200133">
        <w:rPr>
          <w:rFonts w:ascii="Arial" w:hAnsi="Arial" w:cs="Arial"/>
          <w:sz w:val="18"/>
          <w:szCs w:val="18"/>
          <w:lang w:val="sk-SK"/>
        </w:rPr>
        <w:t>9</w:t>
      </w:r>
      <w:r w:rsidRPr="00574CAA">
        <w:rPr>
          <w:rFonts w:ascii="Arial" w:hAnsi="Arial" w:cs="Arial"/>
          <w:sz w:val="18"/>
          <w:szCs w:val="18"/>
          <w:lang w:val="sk-SK"/>
        </w:rPr>
        <w:t xml:space="preserve"> </w:t>
      </w:r>
      <w:r w:rsidRPr="00CB446C">
        <w:rPr>
          <w:rFonts w:ascii="Arial" w:hAnsi="Arial" w:cs="Arial"/>
          <w:sz w:val="18"/>
          <w:szCs w:val="18"/>
          <w:lang w:val="sk-SK"/>
        </w:rPr>
        <w:t xml:space="preserve">predstavuje </w:t>
      </w:r>
      <w:r w:rsidR="00657EF6">
        <w:rPr>
          <w:rFonts w:ascii="Arial" w:hAnsi="Arial" w:cs="Arial"/>
          <w:sz w:val="18"/>
          <w:szCs w:val="18"/>
          <w:lang w:val="sk-SK"/>
        </w:rPr>
        <w:t>pokles</w:t>
      </w:r>
      <w:r w:rsidR="00917B2D">
        <w:rPr>
          <w:rFonts w:ascii="Arial" w:hAnsi="Arial" w:cs="Arial"/>
          <w:sz w:val="18"/>
          <w:szCs w:val="18"/>
          <w:lang w:val="sk-SK"/>
        </w:rPr>
        <w:t xml:space="preserve"> o</w:t>
      </w:r>
      <w:r w:rsidR="0048021A">
        <w:rPr>
          <w:rFonts w:ascii="Arial" w:hAnsi="Arial" w:cs="Arial"/>
          <w:sz w:val="18"/>
          <w:szCs w:val="18"/>
          <w:lang w:val="sk-SK"/>
        </w:rPr>
        <w:t> </w:t>
      </w:r>
      <w:r w:rsidR="00657EF6">
        <w:rPr>
          <w:rFonts w:ascii="Arial" w:hAnsi="Arial" w:cs="Arial"/>
          <w:sz w:val="18"/>
          <w:szCs w:val="18"/>
          <w:lang w:val="sk-SK"/>
        </w:rPr>
        <w:t>68</w:t>
      </w:r>
      <w:r w:rsidR="002A1C5F">
        <w:rPr>
          <w:rFonts w:ascii="Arial" w:hAnsi="Arial" w:cs="Arial"/>
          <w:sz w:val="18"/>
          <w:szCs w:val="18"/>
          <w:lang w:val="sk-SK"/>
        </w:rPr>
        <w:t xml:space="preserve"> </w:t>
      </w:r>
      <w:r w:rsidR="0048021A">
        <w:rPr>
          <w:rFonts w:ascii="Arial" w:hAnsi="Arial" w:cs="Arial"/>
          <w:sz w:val="18"/>
          <w:szCs w:val="18"/>
          <w:lang w:val="en-US"/>
        </w:rPr>
        <w:t>%</w:t>
      </w:r>
      <w:r w:rsidRPr="00CB446C">
        <w:rPr>
          <w:rFonts w:ascii="Arial" w:hAnsi="Arial" w:cs="Arial"/>
          <w:sz w:val="18"/>
          <w:szCs w:val="18"/>
          <w:lang w:val="sk-SK"/>
        </w:rPr>
        <w:t xml:space="preserve"> </w:t>
      </w:r>
      <w:r>
        <w:rPr>
          <w:rFonts w:ascii="Arial" w:hAnsi="Arial" w:cs="Arial"/>
          <w:sz w:val="18"/>
          <w:szCs w:val="18"/>
          <w:lang w:val="sk-SK"/>
        </w:rPr>
        <w:t>prenajatej výmery. Prerokovania súčasných nájmov</w:t>
      </w:r>
      <w:r w:rsidRPr="00CB446C">
        <w:rPr>
          <w:rFonts w:ascii="Arial" w:hAnsi="Arial" w:cs="Arial"/>
          <w:sz w:val="18"/>
          <w:szCs w:val="18"/>
          <w:lang w:val="sk-SK"/>
        </w:rPr>
        <w:t xml:space="preserve"> v tomto kvartáli predstavovali </w:t>
      </w:r>
      <w:r w:rsidR="00657EF6">
        <w:rPr>
          <w:rFonts w:ascii="Arial" w:hAnsi="Arial" w:cs="Arial"/>
          <w:sz w:val="18"/>
          <w:szCs w:val="18"/>
          <w:lang w:val="sk-SK"/>
        </w:rPr>
        <w:t>4</w:t>
      </w:r>
      <w:r w:rsidR="0048021A">
        <w:rPr>
          <w:rFonts w:ascii="Arial" w:hAnsi="Arial" w:cs="Arial"/>
          <w:sz w:val="18"/>
          <w:szCs w:val="18"/>
          <w:lang w:val="sk-SK"/>
        </w:rPr>
        <w:t>6</w:t>
      </w:r>
      <w:r w:rsidR="002A1C5F">
        <w:rPr>
          <w:rFonts w:ascii="Arial" w:hAnsi="Arial" w:cs="Arial"/>
          <w:sz w:val="18"/>
          <w:szCs w:val="18"/>
          <w:lang w:val="sk-SK"/>
        </w:rPr>
        <w:t xml:space="preserve"> </w:t>
      </w:r>
      <w:r w:rsidRPr="00CB446C">
        <w:rPr>
          <w:rFonts w:ascii="Arial" w:hAnsi="Arial" w:cs="Arial"/>
          <w:sz w:val="18"/>
          <w:szCs w:val="18"/>
          <w:lang w:val="en-US"/>
        </w:rPr>
        <w:t>%</w:t>
      </w:r>
      <w:r w:rsidRPr="00CB446C">
        <w:rPr>
          <w:rFonts w:ascii="Arial" w:hAnsi="Arial" w:cs="Arial"/>
          <w:sz w:val="18"/>
          <w:szCs w:val="18"/>
          <w:lang w:val="sk-SK"/>
        </w:rPr>
        <w:t xml:space="preserve"> všetkých transakcií, </w:t>
      </w:r>
      <w:r>
        <w:rPr>
          <w:rFonts w:ascii="Arial" w:hAnsi="Arial" w:cs="Arial"/>
          <w:sz w:val="18"/>
          <w:szCs w:val="18"/>
          <w:lang w:val="sk-SK"/>
        </w:rPr>
        <w:t>nové nájmy</w:t>
      </w:r>
      <w:r w:rsidRPr="00CB446C">
        <w:rPr>
          <w:rFonts w:ascii="Arial" w:hAnsi="Arial" w:cs="Arial"/>
          <w:sz w:val="18"/>
          <w:szCs w:val="18"/>
          <w:lang w:val="sk-SK"/>
        </w:rPr>
        <w:t xml:space="preserve"> tvorili </w:t>
      </w:r>
      <w:r w:rsidR="00657EF6">
        <w:rPr>
          <w:rFonts w:ascii="Arial" w:hAnsi="Arial" w:cs="Arial"/>
          <w:sz w:val="18"/>
          <w:szCs w:val="18"/>
          <w:lang w:val="sk-SK"/>
        </w:rPr>
        <w:t>41</w:t>
      </w:r>
      <w:r w:rsidR="002A1C5F">
        <w:rPr>
          <w:rFonts w:ascii="Arial" w:hAnsi="Arial" w:cs="Arial"/>
          <w:sz w:val="18"/>
          <w:szCs w:val="18"/>
          <w:lang w:val="sk-SK"/>
        </w:rPr>
        <w:t xml:space="preserve"> </w:t>
      </w:r>
      <w:r>
        <w:rPr>
          <w:rFonts w:ascii="Arial" w:hAnsi="Arial" w:cs="Arial"/>
          <w:sz w:val="18"/>
          <w:szCs w:val="18"/>
          <w:lang w:val="sk-SK"/>
        </w:rPr>
        <w:t>%</w:t>
      </w:r>
      <w:r w:rsidR="00657EF6">
        <w:rPr>
          <w:rFonts w:ascii="Arial" w:hAnsi="Arial" w:cs="Arial"/>
          <w:sz w:val="18"/>
          <w:szCs w:val="18"/>
          <w:lang w:val="sk-SK"/>
        </w:rPr>
        <w:t>,</w:t>
      </w:r>
      <w:r>
        <w:rPr>
          <w:rFonts w:ascii="Arial" w:hAnsi="Arial" w:cs="Arial"/>
          <w:sz w:val="18"/>
          <w:szCs w:val="18"/>
          <w:lang w:val="sk-SK"/>
        </w:rPr>
        <w:t xml:space="preserve"> expanzie</w:t>
      </w:r>
      <w:r w:rsidRPr="00CB446C">
        <w:rPr>
          <w:rFonts w:ascii="Arial" w:hAnsi="Arial" w:cs="Arial"/>
          <w:sz w:val="18"/>
          <w:szCs w:val="18"/>
          <w:lang w:val="sk-SK"/>
        </w:rPr>
        <w:t xml:space="preserve"> </w:t>
      </w:r>
      <w:r>
        <w:rPr>
          <w:rFonts w:ascii="Arial" w:hAnsi="Arial" w:cs="Arial"/>
          <w:sz w:val="18"/>
          <w:szCs w:val="18"/>
          <w:lang w:val="sk-SK"/>
        </w:rPr>
        <w:t>prenajatých plôch</w:t>
      </w:r>
      <w:r w:rsidRPr="00CB446C">
        <w:rPr>
          <w:rFonts w:ascii="Arial" w:hAnsi="Arial" w:cs="Arial"/>
          <w:sz w:val="18"/>
          <w:szCs w:val="18"/>
          <w:lang w:val="sk-SK"/>
        </w:rPr>
        <w:t xml:space="preserve"> predstavoval</w:t>
      </w:r>
      <w:r>
        <w:rPr>
          <w:rFonts w:ascii="Arial" w:hAnsi="Arial" w:cs="Arial"/>
          <w:sz w:val="18"/>
          <w:szCs w:val="18"/>
          <w:lang w:val="sk-SK"/>
        </w:rPr>
        <w:t>i</w:t>
      </w:r>
      <w:r w:rsidRPr="00CB446C">
        <w:rPr>
          <w:rFonts w:ascii="Arial" w:hAnsi="Arial" w:cs="Arial"/>
          <w:sz w:val="18"/>
          <w:szCs w:val="18"/>
          <w:lang w:val="sk-SK"/>
        </w:rPr>
        <w:t xml:space="preserve"> </w:t>
      </w:r>
      <w:r w:rsidR="00657EF6">
        <w:rPr>
          <w:rFonts w:ascii="Arial" w:hAnsi="Arial" w:cs="Arial"/>
          <w:sz w:val="18"/>
          <w:szCs w:val="18"/>
          <w:lang w:val="sk-SK"/>
        </w:rPr>
        <w:t>5</w:t>
      </w:r>
      <w:r w:rsidR="002A1C5F">
        <w:rPr>
          <w:rFonts w:ascii="Arial" w:hAnsi="Arial" w:cs="Arial"/>
          <w:sz w:val="18"/>
          <w:szCs w:val="18"/>
          <w:lang w:val="sk-SK"/>
        </w:rPr>
        <w:t xml:space="preserve"> </w:t>
      </w:r>
      <w:r w:rsidRPr="00CB446C">
        <w:rPr>
          <w:rFonts w:ascii="Arial" w:hAnsi="Arial" w:cs="Arial"/>
          <w:sz w:val="18"/>
          <w:szCs w:val="18"/>
          <w:lang w:val="sk-SK"/>
        </w:rPr>
        <w:t>%</w:t>
      </w:r>
      <w:r w:rsidR="00657EF6">
        <w:rPr>
          <w:rFonts w:ascii="Arial" w:hAnsi="Arial" w:cs="Arial"/>
          <w:sz w:val="18"/>
          <w:szCs w:val="18"/>
          <w:lang w:val="sk-SK"/>
        </w:rPr>
        <w:t xml:space="preserve"> a </w:t>
      </w:r>
      <w:proofErr w:type="spellStart"/>
      <w:r w:rsidR="00657EF6">
        <w:rPr>
          <w:rFonts w:ascii="Arial" w:hAnsi="Arial" w:cs="Arial"/>
          <w:sz w:val="18"/>
          <w:szCs w:val="18"/>
          <w:lang w:val="sk-SK"/>
        </w:rPr>
        <w:t>prednájmy</w:t>
      </w:r>
      <w:proofErr w:type="spellEnd"/>
      <w:r w:rsidR="00657EF6">
        <w:rPr>
          <w:rFonts w:ascii="Arial" w:hAnsi="Arial" w:cs="Arial"/>
          <w:sz w:val="18"/>
          <w:szCs w:val="18"/>
          <w:lang w:val="sk-SK"/>
        </w:rPr>
        <w:t xml:space="preserve"> tvorili 8 % všetkých transakcií</w:t>
      </w:r>
      <w:r w:rsidRPr="00CB446C">
        <w:rPr>
          <w:rFonts w:ascii="Arial" w:hAnsi="Arial" w:cs="Arial"/>
          <w:sz w:val="18"/>
          <w:szCs w:val="18"/>
          <w:lang w:val="sk-SK"/>
        </w:rPr>
        <w:t>.</w:t>
      </w:r>
      <w:r w:rsidR="0048021A">
        <w:rPr>
          <w:rFonts w:ascii="Arial" w:hAnsi="Arial" w:cs="Arial"/>
          <w:sz w:val="18"/>
          <w:szCs w:val="18"/>
          <w:lang w:val="sk-SK"/>
        </w:rPr>
        <w:t xml:space="preserve"> </w:t>
      </w:r>
    </w:p>
    <w:p w:rsidR="00F12436" w:rsidRPr="00CB446C" w:rsidRDefault="00F12436" w:rsidP="00F12436">
      <w:pPr>
        <w:jc w:val="both"/>
        <w:rPr>
          <w:rFonts w:ascii="Arial" w:hAnsi="Arial" w:cs="Arial"/>
          <w:sz w:val="18"/>
          <w:szCs w:val="18"/>
          <w:lang w:val="sk-SK"/>
        </w:rPr>
      </w:pPr>
    </w:p>
    <w:p w:rsidR="00F12436" w:rsidRPr="00CB446C" w:rsidRDefault="00F12436" w:rsidP="00F1243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sk-SK"/>
        </w:rPr>
      </w:pPr>
      <w:r w:rsidRPr="00CB446C">
        <w:rPr>
          <w:rFonts w:ascii="Arial" w:eastAsia="SimSun" w:hAnsi="Arial" w:cs="Arial"/>
          <w:sz w:val="18"/>
          <w:szCs w:val="18"/>
          <w:lang w:val="sk-SK" w:eastAsia="sk-SK"/>
        </w:rPr>
        <w:t xml:space="preserve">V </w:t>
      </w:r>
      <w:r w:rsidR="00657EF6">
        <w:rPr>
          <w:rFonts w:ascii="Arial" w:eastAsia="SimSun" w:hAnsi="Arial" w:cs="Arial"/>
          <w:sz w:val="18"/>
          <w:szCs w:val="18"/>
          <w:lang w:val="sk-SK" w:eastAsia="sk-SK"/>
        </w:rPr>
        <w:t>treťom</w:t>
      </w:r>
      <w:r w:rsidRPr="00CB446C">
        <w:rPr>
          <w:rFonts w:ascii="Arial" w:eastAsia="SimSun" w:hAnsi="Arial" w:cs="Arial"/>
          <w:sz w:val="18"/>
          <w:szCs w:val="18"/>
          <w:lang w:val="sk-SK" w:eastAsia="sk-SK"/>
        </w:rPr>
        <w:t xml:space="preserve"> kvartáli 201</w:t>
      </w:r>
      <w:r>
        <w:rPr>
          <w:rFonts w:ascii="Arial" w:eastAsia="SimSun" w:hAnsi="Arial" w:cs="Arial"/>
          <w:sz w:val="18"/>
          <w:szCs w:val="18"/>
          <w:lang w:val="sk-SK" w:eastAsia="sk-SK"/>
        </w:rPr>
        <w:t>9</w:t>
      </w:r>
      <w:r w:rsidRPr="00CB446C">
        <w:rPr>
          <w:rFonts w:ascii="Arial" w:eastAsia="SimSun" w:hAnsi="Arial" w:cs="Arial"/>
          <w:sz w:val="18"/>
          <w:szCs w:val="18"/>
          <w:lang w:val="sk-SK" w:eastAsia="sk-SK"/>
        </w:rPr>
        <w:t xml:space="preserve"> </w:t>
      </w:r>
      <w:r w:rsidR="008221A0">
        <w:rPr>
          <w:rFonts w:ascii="Arial" w:eastAsia="SimSun" w:hAnsi="Arial" w:cs="Arial"/>
          <w:sz w:val="18"/>
          <w:szCs w:val="18"/>
          <w:lang w:val="sk-SK" w:eastAsia="sk-SK"/>
        </w:rPr>
        <w:t xml:space="preserve">sa udiali </w:t>
      </w:r>
      <w:r w:rsidR="00657EF6">
        <w:rPr>
          <w:rFonts w:ascii="Arial" w:eastAsia="SimSun" w:hAnsi="Arial" w:cs="Arial"/>
          <w:sz w:val="18"/>
          <w:szCs w:val="18"/>
          <w:lang w:val="sk-SK" w:eastAsia="sk-SK"/>
        </w:rPr>
        <w:t>tri</w:t>
      </w:r>
      <w:r w:rsidR="008221A0">
        <w:rPr>
          <w:rFonts w:ascii="Arial" w:eastAsia="SimSun" w:hAnsi="Arial" w:cs="Arial"/>
          <w:sz w:val="18"/>
          <w:szCs w:val="18"/>
          <w:lang w:val="sk-SK" w:eastAsia="sk-SK"/>
        </w:rPr>
        <w:t xml:space="preserve"> v</w:t>
      </w:r>
      <w:r w:rsidR="00657EF6">
        <w:rPr>
          <w:rFonts w:ascii="Arial" w:eastAsia="SimSun" w:hAnsi="Arial" w:cs="Arial"/>
          <w:sz w:val="18"/>
          <w:szCs w:val="18"/>
          <w:lang w:val="sk-SK" w:eastAsia="sk-SK"/>
        </w:rPr>
        <w:t>äčšie</w:t>
      </w:r>
      <w:r w:rsidRPr="00CB446C">
        <w:rPr>
          <w:rFonts w:ascii="Arial" w:eastAsia="SimSun" w:hAnsi="Arial" w:cs="Arial"/>
          <w:sz w:val="18"/>
          <w:szCs w:val="18"/>
          <w:lang w:val="sk-SK" w:eastAsia="sk-SK"/>
        </w:rPr>
        <w:t xml:space="preserve"> transakci</w:t>
      </w:r>
      <w:r w:rsidR="008F71BD">
        <w:rPr>
          <w:rFonts w:ascii="Arial" w:eastAsia="SimSun" w:hAnsi="Arial" w:cs="Arial"/>
          <w:sz w:val="18"/>
          <w:szCs w:val="18"/>
          <w:lang w:val="sk-SK" w:eastAsia="sk-SK"/>
        </w:rPr>
        <w:t>e</w:t>
      </w:r>
      <w:r w:rsidRPr="00CB446C">
        <w:rPr>
          <w:rFonts w:ascii="Arial" w:eastAsia="SimSun" w:hAnsi="Arial" w:cs="Arial"/>
          <w:sz w:val="18"/>
          <w:szCs w:val="18"/>
          <w:lang w:val="sk-SK" w:eastAsia="sk-SK"/>
        </w:rPr>
        <w:t xml:space="preserve"> (</w:t>
      </w:r>
      <w:proofErr w:type="spellStart"/>
      <w:r>
        <w:rPr>
          <w:rFonts w:ascii="Arial" w:eastAsia="SimSun" w:hAnsi="Arial" w:cs="Arial"/>
          <w:sz w:val="18"/>
          <w:szCs w:val="18"/>
          <w:lang w:val="sk-SK" w:eastAsia="sk-SK"/>
        </w:rPr>
        <w:t>renegociáci</w:t>
      </w:r>
      <w:r w:rsidR="008F71BD">
        <w:rPr>
          <w:rFonts w:ascii="Arial" w:eastAsia="SimSun" w:hAnsi="Arial" w:cs="Arial"/>
          <w:sz w:val="18"/>
          <w:szCs w:val="18"/>
          <w:lang w:val="sk-SK" w:eastAsia="sk-SK"/>
        </w:rPr>
        <w:t>e</w:t>
      </w:r>
      <w:proofErr w:type="spellEnd"/>
      <w:r w:rsidRPr="00CB446C">
        <w:rPr>
          <w:rFonts w:ascii="Arial" w:eastAsia="SimSun" w:hAnsi="Arial" w:cs="Arial"/>
          <w:sz w:val="18"/>
          <w:szCs w:val="18"/>
          <w:lang w:val="sk-SK" w:eastAsia="sk-SK"/>
        </w:rPr>
        <w:t xml:space="preserve">) na trhu prenájmu kancelárskych priestorov vo výmere </w:t>
      </w:r>
      <w:r w:rsidR="00657EF6">
        <w:rPr>
          <w:rFonts w:ascii="Arial" w:eastAsia="SimSun" w:hAnsi="Arial" w:cs="Arial"/>
          <w:sz w:val="18"/>
          <w:szCs w:val="18"/>
          <w:lang w:val="sk-SK" w:eastAsia="sk-SK"/>
        </w:rPr>
        <w:t>4 000</w:t>
      </w:r>
      <w:r w:rsidRPr="00CB446C">
        <w:rPr>
          <w:rFonts w:ascii="Arial" w:eastAsia="SimSun" w:hAnsi="Arial" w:cs="Arial"/>
          <w:sz w:val="18"/>
          <w:szCs w:val="18"/>
          <w:lang w:val="en-US" w:eastAsia="sk-SK"/>
        </w:rPr>
        <w:t xml:space="preserve"> </w:t>
      </w:r>
      <w:r w:rsidRPr="00CB446C">
        <w:rPr>
          <w:rFonts w:ascii="Arial" w:hAnsi="Arial" w:cs="Arial"/>
          <w:sz w:val="18"/>
          <w:szCs w:val="18"/>
          <w:lang w:val="sk-SK"/>
        </w:rPr>
        <w:t>m²</w:t>
      </w:r>
      <w:r w:rsidR="00657EF6">
        <w:rPr>
          <w:rFonts w:ascii="Arial" w:hAnsi="Arial" w:cs="Arial"/>
          <w:sz w:val="18"/>
          <w:szCs w:val="18"/>
          <w:lang w:val="sk-SK"/>
        </w:rPr>
        <w:t>,</w:t>
      </w:r>
      <w:r w:rsidR="008F71BD">
        <w:rPr>
          <w:rFonts w:ascii="Arial" w:hAnsi="Arial" w:cs="Arial"/>
          <w:sz w:val="18"/>
          <w:szCs w:val="18"/>
          <w:lang w:val="sk-SK"/>
        </w:rPr>
        <w:t> </w:t>
      </w:r>
      <w:r w:rsidR="00657EF6">
        <w:rPr>
          <w:rFonts w:ascii="Arial" w:hAnsi="Arial" w:cs="Arial"/>
          <w:sz w:val="18"/>
          <w:szCs w:val="18"/>
          <w:lang w:val="sk-SK"/>
        </w:rPr>
        <w:t>2 800</w:t>
      </w:r>
      <w:r w:rsidR="008F71BD">
        <w:rPr>
          <w:rFonts w:ascii="Arial" w:hAnsi="Arial" w:cs="Arial"/>
          <w:sz w:val="18"/>
          <w:szCs w:val="18"/>
          <w:lang w:val="sk-SK"/>
        </w:rPr>
        <w:t xml:space="preserve"> </w:t>
      </w:r>
      <w:r w:rsidR="008F71BD" w:rsidRPr="00CB446C">
        <w:rPr>
          <w:rFonts w:ascii="Arial" w:hAnsi="Arial" w:cs="Arial"/>
          <w:sz w:val="18"/>
          <w:szCs w:val="18"/>
          <w:lang w:val="sk-SK"/>
        </w:rPr>
        <w:t>m²</w:t>
      </w:r>
      <w:r w:rsidR="00657EF6">
        <w:rPr>
          <w:rFonts w:ascii="Arial" w:hAnsi="Arial" w:cs="Arial"/>
          <w:sz w:val="18"/>
          <w:szCs w:val="18"/>
          <w:lang w:val="sk-SK"/>
        </w:rPr>
        <w:t xml:space="preserve"> a 2 200</w:t>
      </w:r>
      <w:r w:rsidR="00657EF6" w:rsidRPr="00657EF6">
        <w:rPr>
          <w:rFonts w:ascii="Arial" w:hAnsi="Arial" w:cs="Arial"/>
          <w:sz w:val="18"/>
          <w:szCs w:val="18"/>
          <w:lang w:val="sk-SK"/>
        </w:rPr>
        <w:t xml:space="preserve"> </w:t>
      </w:r>
      <w:r w:rsidR="00657EF6" w:rsidRPr="00CB446C">
        <w:rPr>
          <w:rFonts w:ascii="Arial" w:hAnsi="Arial" w:cs="Arial"/>
          <w:sz w:val="18"/>
          <w:szCs w:val="18"/>
          <w:lang w:val="sk-SK"/>
        </w:rPr>
        <w:t>m²</w:t>
      </w:r>
      <w:r w:rsidRPr="00CB446C">
        <w:rPr>
          <w:rFonts w:ascii="Arial" w:hAnsi="Arial" w:cs="Arial"/>
          <w:sz w:val="18"/>
          <w:szCs w:val="18"/>
          <w:lang w:val="sk-SK"/>
        </w:rPr>
        <w:t>.</w:t>
      </w:r>
      <w:r w:rsidR="008221A0">
        <w:rPr>
          <w:rFonts w:ascii="Arial" w:hAnsi="Arial" w:cs="Arial"/>
          <w:sz w:val="18"/>
          <w:szCs w:val="18"/>
          <w:lang w:val="sk-SK"/>
        </w:rPr>
        <w:t xml:space="preserve"> </w:t>
      </w:r>
      <w:r w:rsidRPr="00CB446C">
        <w:rPr>
          <w:rFonts w:ascii="Arial" w:hAnsi="Arial" w:cs="Arial"/>
          <w:sz w:val="18"/>
          <w:szCs w:val="18"/>
          <w:lang w:val="sk-SK"/>
        </w:rPr>
        <w:t>Okrem t</w:t>
      </w:r>
      <w:r w:rsidR="008F71BD">
        <w:rPr>
          <w:rFonts w:ascii="Arial" w:hAnsi="Arial" w:cs="Arial"/>
          <w:sz w:val="18"/>
          <w:szCs w:val="18"/>
          <w:lang w:val="sk-SK"/>
        </w:rPr>
        <w:t>ýchto</w:t>
      </w:r>
      <w:r w:rsidRPr="00CB446C">
        <w:rPr>
          <w:rFonts w:ascii="Arial" w:hAnsi="Arial" w:cs="Arial"/>
          <w:sz w:val="18"/>
          <w:szCs w:val="18"/>
          <w:lang w:val="sk-SK"/>
        </w:rPr>
        <w:t xml:space="preserve"> transakci</w:t>
      </w:r>
      <w:r w:rsidR="008F71BD">
        <w:rPr>
          <w:rFonts w:ascii="Arial" w:hAnsi="Arial" w:cs="Arial"/>
          <w:sz w:val="18"/>
          <w:szCs w:val="18"/>
          <w:lang w:val="sk-SK"/>
        </w:rPr>
        <w:t>í</w:t>
      </w:r>
      <w:r w:rsidRPr="00CB446C">
        <w:rPr>
          <w:rFonts w:ascii="Arial" w:hAnsi="Arial" w:cs="Arial"/>
          <w:sz w:val="18"/>
          <w:szCs w:val="18"/>
          <w:lang w:val="sk-SK"/>
        </w:rPr>
        <w:t xml:space="preserve"> bol</w:t>
      </w:r>
      <w:r w:rsidR="00C5229C">
        <w:rPr>
          <w:rFonts w:ascii="Arial" w:hAnsi="Arial" w:cs="Arial"/>
          <w:sz w:val="18"/>
          <w:szCs w:val="18"/>
          <w:lang w:val="sk-SK"/>
        </w:rPr>
        <w:t>i</w:t>
      </w:r>
      <w:r w:rsidRPr="00CB446C">
        <w:rPr>
          <w:rFonts w:ascii="Arial" w:hAnsi="Arial" w:cs="Arial"/>
          <w:sz w:val="18"/>
          <w:szCs w:val="18"/>
          <w:lang w:val="sk-SK"/>
        </w:rPr>
        <w:t xml:space="preserve"> </w:t>
      </w:r>
      <w:r>
        <w:rPr>
          <w:rFonts w:ascii="Arial" w:hAnsi="Arial" w:cs="Arial"/>
          <w:sz w:val="18"/>
          <w:szCs w:val="18"/>
          <w:lang w:val="sk-SK"/>
        </w:rPr>
        <w:t>zaznamena</w:t>
      </w:r>
      <w:r w:rsidR="00C5229C">
        <w:rPr>
          <w:rFonts w:ascii="Arial" w:hAnsi="Arial" w:cs="Arial"/>
          <w:sz w:val="18"/>
          <w:szCs w:val="18"/>
          <w:lang w:val="sk-SK"/>
        </w:rPr>
        <w:t>né</w:t>
      </w:r>
      <w:r w:rsidRPr="00CB446C">
        <w:rPr>
          <w:rFonts w:ascii="Arial" w:hAnsi="Arial" w:cs="Arial"/>
          <w:sz w:val="18"/>
          <w:szCs w:val="18"/>
          <w:lang w:val="sk-SK"/>
        </w:rPr>
        <w:t xml:space="preserve"> ešte ďalš</w:t>
      </w:r>
      <w:r w:rsidR="00C5229C">
        <w:rPr>
          <w:rFonts w:ascii="Arial" w:hAnsi="Arial" w:cs="Arial"/>
          <w:sz w:val="18"/>
          <w:szCs w:val="18"/>
          <w:lang w:val="sk-SK"/>
        </w:rPr>
        <w:t>ie</w:t>
      </w:r>
      <w:r>
        <w:rPr>
          <w:rFonts w:ascii="Arial" w:hAnsi="Arial" w:cs="Arial"/>
          <w:sz w:val="18"/>
          <w:szCs w:val="18"/>
          <w:lang w:val="sk-SK"/>
        </w:rPr>
        <w:t xml:space="preserve"> </w:t>
      </w:r>
      <w:r w:rsidR="00C5229C">
        <w:rPr>
          <w:rFonts w:ascii="Arial" w:hAnsi="Arial" w:cs="Arial"/>
          <w:sz w:val="18"/>
          <w:szCs w:val="18"/>
          <w:lang w:val="sk-SK"/>
        </w:rPr>
        <w:t>dve</w:t>
      </w:r>
      <w:r>
        <w:rPr>
          <w:rFonts w:ascii="Arial" w:hAnsi="Arial" w:cs="Arial"/>
          <w:sz w:val="18"/>
          <w:szCs w:val="18"/>
          <w:lang w:val="sk-SK"/>
        </w:rPr>
        <w:t xml:space="preserve"> transakci</w:t>
      </w:r>
      <w:r w:rsidR="00C5229C">
        <w:rPr>
          <w:rFonts w:ascii="Arial" w:hAnsi="Arial" w:cs="Arial"/>
          <w:sz w:val="18"/>
          <w:szCs w:val="18"/>
          <w:lang w:val="sk-SK"/>
        </w:rPr>
        <w:t>e</w:t>
      </w:r>
      <w:r w:rsidRPr="00CB446C">
        <w:rPr>
          <w:rFonts w:ascii="Arial" w:hAnsi="Arial" w:cs="Arial"/>
          <w:sz w:val="18"/>
          <w:szCs w:val="18"/>
          <w:lang w:val="sk-SK"/>
        </w:rPr>
        <w:t>, ktoré presiahli výmeru 1 000 m².</w:t>
      </w:r>
    </w:p>
    <w:p w:rsidR="00F12436" w:rsidRPr="00CB446C" w:rsidRDefault="00F12436" w:rsidP="00F1243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sk-SK"/>
        </w:rPr>
      </w:pPr>
    </w:p>
    <w:p w:rsidR="008221A0" w:rsidRDefault="008221A0" w:rsidP="008221A0">
      <w:pPr>
        <w:rPr>
          <w:rFonts w:ascii="Arial" w:hAnsi="Arial" w:cs="Arial"/>
          <w:sz w:val="18"/>
          <w:szCs w:val="18"/>
          <w:lang w:val="sk-SK"/>
        </w:rPr>
      </w:pPr>
      <w:r w:rsidRPr="00CB446C">
        <w:rPr>
          <w:rStyle w:val="hps"/>
          <w:rFonts w:ascii="Arial" w:hAnsi="Arial" w:cs="Arial"/>
          <w:sz w:val="18"/>
          <w:szCs w:val="18"/>
          <w:lang w:val="sk-SK"/>
        </w:rPr>
        <w:t>V </w:t>
      </w:r>
      <w:r w:rsidR="006557E4">
        <w:rPr>
          <w:rStyle w:val="hps"/>
          <w:rFonts w:ascii="Arial" w:hAnsi="Arial" w:cs="Arial"/>
          <w:sz w:val="18"/>
          <w:szCs w:val="18"/>
          <w:lang w:val="sk-SK"/>
        </w:rPr>
        <w:t>treťom</w:t>
      </w:r>
      <w:r w:rsidRPr="00CB446C">
        <w:rPr>
          <w:rStyle w:val="hps"/>
          <w:rFonts w:ascii="Arial" w:hAnsi="Arial" w:cs="Arial"/>
          <w:sz w:val="18"/>
          <w:szCs w:val="18"/>
          <w:lang w:val="sk-SK"/>
        </w:rPr>
        <w:t xml:space="preserve"> kvartáli </w:t>
      </w:r>
      <w:r>
        <w:rPr>
          <w:rStyle w:val="hps"/>
          <w:rFonts w:ascii="Arial" w:hAnsi="Arial" w:cs="Arial"/>
          <w:sz w:val="18"/>
          <w:szCs w:val="18"/>
          <w:lang w:val="sk-SK"/>
        </w:rPr>
        <w:t xml:space="preserve">tohto </w:t>
      </w:r>
      <w:r w:rsidRPr="00CB446C">
        <w:rPr>
          <w:rStyle w:val="hps"/>
          <w:rFonts w:ascii="Arial" w:hAnsi="Arial" w:cs="Arial"/>
          <w:sz w:val="18"/>
          <w:szCs w:val="18"/>
          <w:lang w:val="sk-SK"/>
        </w:rPr>
        <w:t xml:space="preserve">roka dominovali na trhu transakcie spoločností </w:t>
      </w:r>
      <w:r w:rsidRPr="00CB446C">
        <w:rPr>
          <w:rFonts w:ascii="Arial" w:hAnsi="Arial" w:cs="Arial"/>
          <w:sz w:val="18"/>
          <w:szCs w:val="18"/>
          <w:lang w:val="sk-SK"/>
        </w:rPr>
        <w:t>z</w:t>
      </w:r>
      <w:r w:rsidR="00C5229C">
        <w:rPr>
          <w:rFonts w:ascii="Arial" w:hAnsi="Arial" w:cs="Arial"/>
          <w:sz w:val="18"/>
          <w:szCs w:val="18"/>
          <w:lang w:val="sk-SK"/>
        </w:rPr>
        <w:t xml:space="preserve">o sektora profesionálnych služieb (28 %), tesne nasledované spoločnosťami z </w:t>
      </w:r>
      <w:r>
        <w:rPr>
          <w:rFonts w:ascii="Arial" w:hAnsi="Arial" w:cs="Arial"/>
          <w:sz w:val="18"/>
          <w:szCs w:val="18"/>
          <w:lang w:val="sk-SK"/>
        </w:rPr>
        <w:t>IT</w:t>
      </w:r>
      <w:r w:rsidRPr="00CB446C">
        <w:rPr>
          <w:rFonts w:ascii="Arial" w:hAnsi="Arial" w:cs="Arial"/>
          <w:sz w:val="18"/>
          <w:szCs w:val="18"/>
          <w:lang w:val="sk-SK"/>
        </w:rPr>
        <w:t xml:space="preserve"> sektora</w:t>
      </w:r>
      <w:r>
        <w:rPr>
          <w:rFonts w:ascii="Arial" w:hAnsi="Arial" w:cs="Arial"/>
          <w:sz w:val="18"/>
          <w:szCs w:val="18"/>
          <w:lang w:val="sk-SK"/>
        </w:rPr>
        <w:t xml:space="preserve"> </w:t>
      </w:r>
      <w:r w:rsidRPr="00CB446C">
        <w:rPr>
          <w:rFonts w:ascii="Arial" w:hAnsi="Arial" w:cs="Arial"/>
          <w:sz w:val="18"/>
          <w:szCs w:val="18"/>
          <w:lang w:val="sk-SK"/>
        </w:rPr>
        <w:t>(</w:t>
      </w:r>
      <w:r w:rsidR="00C5229C">
        <w:rPr>
          <w:rFonts w:ascii="Arial" w:hAnsi="Arial" w:cs="Arial"/>
          <w:sz w:val="18"/>
          <w:szCs w:val="18"/>
          <w:lang w:val="sk-SK"/>
        </w:rPr>
        <w:t>26</w:t>
      </w:r>
      <w:r w:rsidR="002A1C5F">
        <w:rPr>
          <w:rFonts w:ascii="Arial" w:hAnsi="Arial" w:cs="Arial"/>
          <w:sz w:val="18"/>
          <w:szCs w:val="18"/>
          <w:lang w:val="sk-SK"/>
        </w:rPr>
        <w:t xml:space="preserve"> </w:t>
      </w:r>
      <w:r w:rsidRPr="00CB446C">
        <w:rPr>
          <w:rFonts w:ascii="Arial" w:hAnsi="Arial" w:cs="Arial"/>
          <w:sz w:val="18"/>
          <w:szCs w:val="18"/>
          <w:lang w:val="sk-SK"/>
        </w:rPr>
        <w:t>%)</w:t>
      </w:r>
      <w:r w:rsidR="00C5229C">
        <w:rPr>
          <w:rFonts w:ascii="Arial" w:hAnsi="Arial" w:cs="Arial"/>
          <w:sz w:val="18"/>
          <w:szCs w:val="18"/>
          <w:lang w:val="sk-SK"/>
        </w:rPr>
        <w:t>.</w:t>
      </w:r>
    </w:p>
    <w:p w:rsidR="00E00551" w:rsidRDefault="00E00551" w:rsidP="008221A0">
      <w:pPr>
        <w:rPr>
          <w:rFonts w:ascii="Arial" w:hAnsi="Arial" w:cs="Arial"/>
          <w:sz w:val="18"/>
          <w:szCs w:val="18"/>
        </w:rPr>
      </w:pPr>
      <w:bookmarkStart w:id="4" w:name="_GoBack"/>
      <w:bookmarkEnd w:id="4"/>
    </w:p>
    <w:p w:rsidR="00F12436" w:rsidRDefault="00F12436" w:rsidP="00F12436">
      <w:pPr>
        <w:rPr>
          <w:rFonts w:ascii="Arial" w:hAnsi="Arial" w:cs="Arial"/>
          <w:sz w:val="18"/>
          <w:szCs w:val="18"/>
        </w:rPr>
      </w:pPr>
    </w:p>
    <w:p w:rsidR="00F12436" w:rsidRPr="00CB446C" w:rsidRDefault="00F12436" w:rsidP="00F12436">
      <w:pPr>
        <w:jc w:val="both"/>
        <w:outlineLvl w:val="0"/>
        <w:rPr>
          <w:rFonts w:ascii="Arial" w:hAnsi="Arial" w:cs="Arial"/>
          <w:b/>
          <w:bCs/>
          <w:lang w:val="sk-SK"/>
        </w:rPr>
      </w:pPr>
      <w:proofErr w:type="spellStart"/>
      <w:r w:rsidRPr="00CB446C">
        <w:rPr>
          <w:rFonts w:ascii="Arial" w:hAnsi="Arial" w:cs="Arial"/>
          <w:b/>
          <w:bCs/>
          <w:lang w:val="sk-SK"/>
        </w:rPr>
        <w:t>Neobsadenosť</w:t>
      </w:r>
      <w:proofErr w:type="spellEnd"/>
      <w:r w:rsidRPr="00CB446C">
        <w:rPr>
          <w:rFonts w:ascii="Arial" w:hAnsi="Arial" w:cs="Arial"/>
          <w:b/>
          <w:bCs/>
          <w:lang w:val="sk-SK"/>
        </w:rPr>
        <w:t xml:space="preserve"> kancelárskych priestorov (Office </w:t>
      </w:r>
      <w:proofErr w:type="spellStart"/>
      <w:r w:rsidRPr="00CB446C">
        <w:rPr>
          <w:rFonts w:ascii="Arial" w:hAnsi="Arial" w:cs="Arial"/>
          <w:b/>
          <w:bCs/>
          <w:lang w:val="sk-SK"/>
        </w:rPr>
        <w:t>Vacancy</w:t>
      </w:r>
      <w:proofErr w:type="spellEnd"/>
      <w:r w:rsidRPr="00CB446C">
        <w:rPr>
          <w:rFonts w:ascii="Arial" w:hAnsi="Arial" w:cs="Arial"/>
          <w:b/>
          <w:bCs/>
          <w:lang w:val="sk-SK"/>
        </w:rPr>
        <w:t>)</w:t>
      </w:r>
    </w:p>
    <w:p w:rsidR="00F12436" w:rsidRPr="008221A0" w:rsidRDefault="00F12436" w:rsidP="00F12436">
      <w:pPr>
        <w:jc w:val="both"/>
        <w:rPr>
          <w:rFonts w:ascii="Arial" w:hAnsi="Arial" w:cs="Arial"/>
          <w:bCs/>
          <w:sz w:val="18"/>
          <w:szCs w:val="18"/>
          <w:lang w:val="en-US"/>
        </w:rPr>
      </w:pPr>
    </w:p>
    <w:p w:rsidR="00F12436" w:rsidRDefault="00F12436" w:rsidP="00F12436">
      <w:pPr>
        <w:rPr>
          <w:rFonts w:ascii="Arial" w:hAnsi="Arial" w:cs="Arial"/>
          <w:sz w:val="18"/>
          <w:szCs w:val="18"/>
          <w:lang w:val="sk-SK"/>
        </w:rPr>
      </w:pPr>
      <w:r w:rsidRPr="00CB446C">
        <w:rPr>
          <w:rFonts w:ascii="Arial" w:hAnsi="Arial" w:cs="Arial"/>
          <w:bCs/>
          <w:sz w:val="18"/>
          <w:szCs w:val="18"/>
          <w:lang w:val="sk-SK"/>
        </w:rPr>
        <w:t xml:space="preserve">Miera </w:t>
      </w:r>
      <w:proofErr w:type="spellStart"/>
      <w:r w:rsidRPr="00CB446C">
        <w:rPr>
          <w:rFonts w:ascii="Arial" w:hAnsi="Arial" w:cs="Arial"/>
          <w:bCs/>
          <w:sz w:val="18"/>
          <w:szCs w:val="18"/>
          <w:lang w:val="sk-SK"/>
        </w:rPr>
        <w:t>neobsadenosti</w:t>
      </w:r>
      <w:proofErr w:type="spellEnd"/>
      <w:r w:rsidRPr="00CB446C">
        <w:rPr>
          <w:rFonts w:ascii="Arial" w:hAnsi="Arial" w:cs="Arial"/>
          <w:bCs/>
          <w:sz w:val="18"/>
          <w:szCs w:val="18"/>
          <w:lang w:val="sk-SK"/>
        </w:rPr>
        <w:t xml:space="preserve"> sa v </w:t>
      </w:r>
      <w:r w:rsidR="00C5229C">
        <w:rPr>
          <w:rFonts w:ascii="Arial" w:hAnsi="Arial" w:cs="Arial"/>
          <w:bCs/>
          <w:sz w:val="18"/>
          <w:szCs w:val="18"/>
          <w:lang w:val="sk-SK"/>
        </w:rPr>
        <w:t>treť</w:t>
      </w:r>
      <w:r w:rsidR="008221A0">
        <w:rPr>
          <w:rFonts w:ascii="Arial" w:hAnsi="Arial" w:cs="Arial"/>
          <w:bCs/>
          <w:sz w:val="18"/>
          <w:szCs w:val="18"/>
          <w:lang w:val="sk-SK"/>
        </w:rPr>
        <w:t>om</w:t>
      </w:r>
      <w:r w:rsidRPr="00CB446C">
        <w:rPr>
          <w:rFonts w:ascii="Arial" w:hAnsi="Arial" w:cs="Arial"/>
          <w:bCs/>
          <w:sz w:val="18"/>
          <w:szCs w:val="18"/>
          <w:lang w:val="sk-SK"/>
        </w:rPr>
        <w:t xml:space="preserve"> kvartáli roka 201</w:t>
      </w:r>
      <w:r>
        <w:rPr>
          <w:rFonts w:ascii="Arial" w:hAnsi="Arial" w:cs="Arial"/>
          <w:bCs/>
          <w:sz w:val="18"/>
          <w:szCs w:val="18"/>
          <w:lang w:val="sk-SK"/>
        </w:rPr>
        <w:t>9</w:t>
      </w:r>
      <w:r w:rsidRPr="00CB446C">
        <w:rPr>
          <w:rFonts w:ascii="Arial" w:hAnsi="Arial" w:cs="Arial"/>
          <w:bCs/>
          <w:sz w:val="18"/>
          <w:szCs w:val="18"/>
          <w:lang w:val="sk-SK"/>
        </w:rPr>
        <w:t xml:space="preserve"> z</w:t>
      </w:r>
      <w:r>
        <w:rPr>
          <w:rFonts w:ascii="Arial" w:hAnsi="Arial" w:cs="Arial"/>
          <w:bCs/>
          <w:sz w:val="18"/>
          <w:szCs w:val="18"/>
          <w:lang w:val="sk-SK"/>
        </w:rPr>
        <w:t>výš</w:t>
      </w:r>
      <w:r w:rsidRPr="00CB446C">
        <w:rPr>
          <w:rFonts w:ascii="Arial" w:hAnsi="Arial" w:cs="Arial"/>
          <w:bCs/>
          <w:sz w:val="18"/>
          <w:szCs w:val="18"/>
          <w:lang w:val="sk-SK"/>
        </w:rPr>
        <w:t xml:space="preserve">ila na </w:t>
      </w:r>
      <w:r w:rsidR="008221A0">
        <w:rPr>
          <w:rFonts w:ascii="Arial" w:hAnsi="Arial" w:cs="Arial"/>
          <w:bCs/>
          <w:sz w:val="18"/>
          <w:szCs w:val="18"/>
          <w:lang w:val="sk-SK"/>
        </w:rPr>
        <w:t>8,</w:t>
      </w:r>
      <w:r w:rsidR="00C5229C">
        <w:rPr>
          <w:rFonts w:ascii="Arial" w:hAnsi="Arial" w:cs="Arial"/>
          <w:bCs/>
          <w:sz w:val="18"/>
          <w:szCs w:val="18"/>
          <w:lang w:val="sk-SK"/>
        </w:rPr>
        <w:t>80</w:t>
      </w:r>
      <w:r w:rsidR="002A1C5F">
        <w:rPr>
          <w:rFonts w:ascii="Arial" w:hAnsi="Arial" w:cs="Arial"/>
          <w:bCs/>
          <w:sz w:val="18"/>
          <w:szCs w:val="18"/>
          <w:lang w:val="sk-SK"/>
        </w:rPr>
        <w:t xml:space="preserve"> </w:t>
      </w:r>
      <w:r w:rsidRPr="00CB446C">
        <w:rPr>
          <w:rFonts w:ascii="Arial" w:hAnsi="Arial" w:cs="Arial"/>
          <w:bCs/>
          <w:sz w:val="18"/>
          <w:szCs w:val="18"/>
          <w:lang w:val="sk-SK"/>
        </w:rPr>
        <w:t>% z p</w:t>
      </w:r>
      <w:r>
        <w:rPr>
          <w:rFonts w:ascii="Arial" w:hAnsi="Arial" w:cs="Arial"/>
          <w:bCs/>
          <w:sz w:val="18"/>
          <w:szCs w:val="18"/>
          <w:lang w:val="sk-SK"/>
        </w:rPr>
        <w:t>redchádzajúcich</w:t>
      </w:r>
      <w:r w:rsidRPr="00CB446C">
        <w:rPr>
          <w:rFonts w:ascii="Arial" w:hAnsi="Arial" w:cs="Arial"/>
          <w:bCs/>
          <w:sz w:val="18"/>
          <w:szCs w:val="18"/>
          <w:lang w:val="sk-SK"/>
        </w:rPr>
        <w:t xml:space="preserve"> </w:t>
      </w:r>
      <w:r w:rsidR="00C5229C">
        <w:rPr>
          <w:rFonts w:ascii="Arial" w:hAnsi="Arial" w:cs="Arial"/>
          <w:bCs/>
          <w:sz w:val="18"/>
          <w:szCs w:val="18"/>
          <w:lang w:val="sk-SK"/>
        </w:rPr>
        <w:t>8</w:t>
      </w:r>
      <w:r w:rsidRPr="00CB446C">
        <w:rPr>
          <w:rFonts w:ascii="Arial" w:hAnsi="Arial" w:cs="Arial"/>
          <w:bCs/>
          <w:sz w:val="18"/>
          <w:szCs w:val="18"/>
          <w:lang w:val="sk-SK"/>
        </w:rPr>
        <w:t>,</w:t>
      </w:r>
      <w:r w:rsidR="00C5229C">
        <w:rPr>
          <w:rFonts w:ascii="Arial" w:hAnsi="Arial" w:cs="Arial"/>
          <w:bCs/>
          <w:sz w:val="18"/>
          <w:szCs w:val="18"/>
          <w:lang w:val="sk-SK"/>
        </w:rPr>
        <w:t>06</w:t>
      </w:r>
      <w:r w:rsidR="002A1C5F">
        <w:rPr>
          <w:rFonts w:ascii="Arial" w:hAnsi="Arial" w:cs="Arial"/>
          <w:bCs/>
          <w:sz w:val="18"/>
          <w:szCs w:val="18"/>
          <w:lang w:val="sk-SK"/>
        </w:rPr>
        <w:t xml:space="preserve"> </w:t>
      </w:r>
      <w:r>
        <w:rPr>
          <w:rFonts w:ascii="Arial" w:hAnsi="Arial" w:cs="Arial"/>
          <w:bCs/>
          <w:sz w:val="18"/>
          <w:szCs w:val="18"/>
          <w:lang w:val="sk-SK"/>
        </w:rPr>
        <w:t>%</w:t>
      </w:r>
      <w:r w:rsidRPr="00CB446C">
        <w:rPr>
          <w:rFonts w:ascii="Arial" w:hAnsi="Arial" w:cs="Arial"/>
          <w:bCs/>
          <w:sz w:val="18"/>
          <w:szCs w:val="18"/>
          <w:lang w:val="sk-SK"/>
        </w:rPr>
        <w:t xml:space="preserve"> v predošlom kvartáli.</w:t>
      </w:r>
      <w:r w:rsidR="00C5229C">
        <w:rPr>
          <w:rFonts w:ascii="Arial" w:hAnsi="Arial" w:cs="Arial"/>
          <w:bCs/>
          <w:sz w:val="18"/>
          <w:szCs w:val="18"/>
          <w:lang w:val="sk-SK"/>
        </w:rPr>
        <w:t xml:space="preserve"> </w:t>
      </w:r>
      <w:r w:rsidRPr="008E37C0">
        <w:rPr>
          <w:rFonts w:ascii="Arial" w:hAnsi="Arial" w:cs="Arial"/>
          <w:bCs/>
          <w:sz w:val="18"/>
          <w:szCs w:val="18"/>
          <w:lang w:val="sk-SK"/>
        </w:rPr>
        <w:t>Najnižšia miera</w:t>
      </w:r>
      <w:r w:rsidRPr="008E37C0">
        <w:rPr>
          <w:rFonts w:ascii="Arial" w:hAnsi="Arial" w:cs="Arial"/>
          <w:sz w:val="18"/>
          <w:szCs w:val="18"/>
          <w:lang w:val="sk-SK"/>
        </w:rPr>
        <w:t xml:space="preserve"> </w:t>
      </w:r>
      <w:proofErr w:type="spellStart"/>
      <w:r w:rsidRPr="008E37C0">
        <w:rPr>
          <w:rFonts w:ascii="Arial" w:hAnsi="Arial" w:cs="Arial"/>
          <w:sz w:val="18"/>
          <w:szCs w:val="18"/>
          <w:lang w:val="sk-SK"/>
        </w:rPr>
        <w:t>neobsadenosti</w:t>
      </w:r>
      <w:proofErr w:type="spellEnd"/>
      <w:r w:rsidRPr="008E37C0">
        <w:rPr>
          <w:rFonts w:ascii="Arial" w:hAnsi="Arial" w:cs="Arial"/>
          <w:sz w:val="18"/>
          <w:szCs w:val="18"/>
          <w:lang w:val="sk-SK"/>
        </w:rPr>
        <w:t xml:space="preserve"> bola zaznamenaná v Bratislave </w:t>
      </w:r>
      <w:r w:rsidR="008E37C0" w:rsidRPr="008E37C0">
        <w:rPr>
          <w:rFonts w:ascii="Arial" w:hAnsi="Arial" w:cs="Arial"/>
          <w:sz w:val="18"/>
          <w:szCs w:val="18"/>
          <w:lang w:val="sk-SK"/>
        </w:rPr>
        <w:t>II</w:t>
      </w:r>
      <w:r w:rsidRPr="008E37C0">
        <w:rPr>
          <w:rFonts w:ascii="Arial" w:hAnsi="Arial" w:cs="Arial"/>
          <w:sz w:val="18"/>
          <w:szCs w:val="18"/>
          <w:lang w:val="sk-SK"/>
        </w:rPr>
        <w:t>I (</w:t>
      </w:r>
      <w:r w:rsidR="004230A5">
        <w:rPr>
          <w:rFonts w:ascii="Arial" w:hAnsi="Arial" w:cs="Arial"/>
          <w:sz w:val="18"/>
          <w:szCs w:val="18"/>
          <w:lang w:val="sk-SK"/>
        </w:rPr>
        <w:t>3</w:t>
      </w:r>
      <w:r w:rsidRPr="008E37C0">
        <w:rPr>
          <w:rFonts w:ascii="Arial" w:hAnsi="Arial" w:cs="Arial"/>
          <w:sz w:val="18"/>
          <w:szCs w:val="18"/>
          <w:lang w:val="sk-SK"/>
        </w:rPr>
        <w:t>,</w:t>
      </w:r>
      <w:r w:rsidR="004230A5">
        <w:rPr>
          <w:rFonts w:ascii="Arial" w:hAnsi="Arial" w:cs="Arial"/>
          <w:sz w:val="18"/>
          <w:szCs w:val="18"/>
          <w:lang w:val="sk-SK"/>
        </w:rPr>
        <w:t>69</w:t>
      </w:r>
      <w:r w:rsidR="002A1C5F">
        <w:rPr>
          <w:rFonts w:ascii="Arial" w:hAnsi="Arial" w:cs="Arial"/>
          <w:sz w:val="18"/>
          <w:szCs w:val="18"/>
          <w:lang w:val="sk-SK"/>
        </w:rPr>
        <w:t xml:space="preserve"> </w:t>
      </w:r>
      <w:r w:rsidRPr="008E37C0">
        <w:rPr>
          <w:rFonts w:ascii="Arial" w:hAnsi="Arial" w:cs="Arial"/>
          <w:sz w:val="18"/>
          <w:szCs w:val="18"/>
          <w:lang w:val="sk-SK"/>
        </w:rPr>
        <w:t>%), nasledovaná Bratislavou I (</w:t>
      </w:r>
      <w:r w:rsidR="004230A5">
        <w:rPr>
          <w:rFonts w:ascii="Arial" w:hAnsi="Arial" w:cs="Arial"/>
          <w:sz w:val="18"/>
          <w:szCs w:val="18"/>
          <w:lang w:val="sk-SK"/>
        </w:rPr>
        <w:t>6</w:t>
      </w:r>
      <w:r w:rsidRPr="008E37C0">
        <w:rPr>
          <w:rFonts w:ascii="Arial" w:hAnsi="Arial" w:cs="Arial"/>
          <w:sz w:val="18"/>
          <w:szCs w:val="18"/>
          <w:lang w:val="sk-SK"/>
        </w:rPr>
        <w:t>,</w:t>
      </w:r>
      <w:r w:rsidR="004230A5">
        <w:rPr>
          <w:rFonts w:ascii="Arial" w:hAnsi="Arial" w:cs="Arial"/>
          <w:sz w:val="18"/>
          <w:szCs w:val="18"/>
          <w:lang w:val="sk-SK"/>
        </w:rPr>
        <w:t>04</w:t>
      </w:r>
      <w:r w:rsidR="002A1C5F">
        <w:rPr>
          <w:rFonts w:ascii="Arial" w:hAnsi="Arial" w:cs="Arial"/>
          <w:sz w:val="18"/>
          <w:szCs w:val="18"/>
          <w:lang w:val="sk-SK"/>
        </w:rPr>
        <w:t xml:space="preserve"> </w:t>
      </w:r>
      <w:r w:rsidRPr="008E37C0">
        <w:rPr>
          <w:rFonts w:ascii="Arial" w:hAnsi="Arial" w:cs="Arial"/>
          <w:sz w:val="18"/>
          <w:szCs w:val="18"/>
          <w:lang w:val="sk-SK"/>
        </w:rPr>
        <w:t>%), Bratislavou II (</w:t>
      </w:r>
      <w:r w:rsidR="008E37C0" w:rsidRPr="008E37C0">
        <w:rPr>
          <w:rFonts w:ascii="Arial" w:hAnsi="Arial" w:cs="Arial"/>
          <w:sz w:val="18"/>
          <w:szCs w:val="18"/>
          <w:lang w:val="sk-SK"/>
        </w:rPr>
        <w:t>9</w:t>
      </w:r>
      <w:r w:rsidRPr="008E37C0">
        <w:rPr>
          <w:rFonts w:ascii="Arial" w:hAnsi="Arial" w:cs="Arial"/>
          <w:sz w:val="18"/>
          <w:szCs w:val="18"/>
          <w:lang w:val="sk-SK"/>
        </w:rPr>
        <w:t>,</w:t>
      </w:r>
      <w:r w:rsidR="004230A5">
        <w:rPr>
          <w:rFonts w:ascii="Arial" w:hAnsi="Arial" w:cs="Arial"/>
          <w:sz w:val="18"/>
          <w:szCs w:val="18"/>
          <w:lang w:val="sk-SK"/>
        </w:rPr>
        <w:t>12</w:t>
      </w:r>
      <w:r w:rsidR="002A1C5F">
        <w:rPr>
          <w:rFonts w:ascii="Arial" w:hAnsi="Arial" w:cs="Arial"/>
          <w:sz w:val="18"/>
          <w:szCs w:val="18"/>
          <w:lang w:val="sk-SK"/>
        </w:rPr>
        <w:t xml:space="preserve"> </w:t>
      </w:r>
      <w:r w:rsidRPr="008E37C0">
        <w:rPr>
          <w:rFonts w:ascii="Arial" w:hAnsi="Arial" w:cs="Arial"/>
          <w:sz w:val="18"/>
          <w:szCs w:val="18"/>
          <w:lang w:val="sk-SK"/>
        </w:rPr>
        <w:t>%) a Bratislavou V (</w:t>
      </w:r>
      <w:r w:rsidR="004230A5">
        <w:rPr>
          <w:rFonts w:ascii="Arial" w:hAnsi="Arial" w:cs="Arial"/>
          <w:sz w:val="18"/>
          <w:szCs w:val="18"/>
          <w:lang w:val="sk-SK"/>
        </w:rPr>
        <w:t>9</w:t>
      </w:r>
      <w:r w:rsidRPr="008E37C0">
        <w:rPr>
          <w:rFonts w:ascii="Arial" w:hAnsi="Arial" w:cs="Arial"/>
          <w:sz w:val="18"/>
          <w:szCs w:val="18"/>
          <w:lang w:val="sk-SK"/>
        </w:rPr>
        <w:t>,</w:t>
      </w:r>
      <w:r w:rsidR="008E37C0" w:rsidRPr="008E37C0">
        <w:rPr>
          <w:rFonts w:ascii="Arial" w:hAnsi="Arial" w:cs="Arial"/>
          <w:sz w:val="18"/>
          <w:szCs w:val="18"/>
          <w:lang w:val="sk-SK"/>
        </w:rPr>
        <w:t>3</w:t>
      </w:r>
      <w:r w:rsidR="004230A5">
        <w:rPr>
          <w:rFonts w:ascii="Arial" w:hAnsi="Arial" w:cs="Arial"/>
          <w:sz w:val="18"/>
          <w:szCs w:val="18"/>
          <w:lang w:val="sk-SK"/>
        </w:rPr>
        <w:t>3</w:t>
      </w:r>
      <w:r w:rsidR="002A1C5F">
        <w:rPr>
          <w:rFonts w:ascii="Arial" w:hAnsi="Arial" w:cs="Arial"/>
          <w:sz w:val="18"/>
          <w:szCs w:val="18"/>
          <w:lang w:val="sk-SK"/>
        </w:rPr>
        <w:t xml:space="preserve"> </w:t>
      </w:r>
      <w:r w:rsidRPr="008E37C0">
        <w:rPr>
          <w:rFonts w:ascii="Arial" w:hAnsi="Arial" w:cs="Arial"/>
          <w:sz w:val="18"/>
          <w:szCs w:val="18"/>
          <w:lang w:val="sk-SK"/>
        </w:rPr>
        <w:t xml:space="preserve">%). Najvyššia miera </w:t>
      </w:r>
      <w:proofErr w:type="spellStart"/>
      <w:r w:rsidRPr="008E37C0">
        <w:rPr>
          <w:rFonts w:ascii="Arial" w:hAnsi="Arial" w:cs="Arial"/>
          <w:sz w:val="18"/>
          <w:szCs w:val="18"/>
          <w:lang w:val="sk-SK"/>
        </w:rPr>
        <w:t>neobsadenosti</w:t>
      </w:r>
      <w:proofErr w:type="spellEnd"/>
      <w:r w:rsidRPr="008E37C0">
        <w:rPr>
          <w:rFonts w:ascii="Arial" w:hAnsi="Arial" w:cs="Arial"/>
          <w:sz w:val="18"/>
          <w:szCs w:val="18"/>
          <w:lang w:val="sk-SK"/>
        </w:rPr>
        <w:t xml:space="preserve"> je v časti Bratislava IV, ktorá je na úrovni </w:t>
      </w:r>
      <w:r w:rsidR="004230A5">
        <w:rPr>
          <w:rFonts w:ascii="Arial" w:hAnsi="Arial" w:cs="Arial"/>
          <w:sz w:val="18"/>
          <w:szCs w:val="18"/>
          <w:lang w:val="sk-SK"/>
        </w:rPr>
        <w:t>30</w:t>
      </w:r>
      <w:r w:rsidRPr="008E37C0">
        <w:rPr>
          <w:rFonts w:ascii="Arial" w:hAnsi="Arial" w:cs="Arial"/>
          <w:sz w:val="18"/>
          <w:szCs w:val="18"/>
          <w:lang w:val="sk-SK"/>
        </w:rPr>
        <w:t>,</w:t>
      </w:r>
      <w:r w:rsidR="004230A5">
        <w:rPr>
          <w:rFonts w:ascii="Arial" w:hAnsi="Arial" w:cs="Arial"/>
          <w:sz w:val="18"/>
          <w:szCs w:val="18"/>
          <w:lang w:val="sk-SK"/>
        </w:rPr>
        <w:t>93</w:t>
      </w:r>
      <w:r w:rsidR="002A1C5F">
        <w:rPr>
          <w:rFonts w:ascii="Arial" w:hAnsi="Arial" w:cs="Arial"/>
          <w:sz w:val="18"/>
          <w:szCs w:val="18"/>
          <w:lang w:val="sk-SK"/>
        </w:rPr>
        <w:t xml:space="preserve"> </w:t>
      </w:r>
      <w:r w:rsidRPr="008E37C0">
        <w:rPr>
          <w:rFonts w:ascii="Arial" w:hAnsi="Arial" w:cs="Arial"/>
          <w:sz w:val="18"/>
          <w:szCs w:val="18"/>
          <w:lang w:val="sk-SK"/>
        </w:rPr>
        <w:t>%.</w:t>
      </w:r>
    </w:p>
    <w:p w:rsidR="00F12436" w:rsidRDefault="00F12436" w:rsidP="00F12436">
      <w:pPr>
        <w:rPr>
          <w:rFonts w:ascii="Arial" w:hAnsi="Arial" w:cs="Arial"/>
          <w:sz w:val="18"/>
          <w:szCs w:val="18"/>
          <w:lang w:val="sk-SK"/>
        </w:rPr>
      </w:pPr>
    </w:p>
    <w:p w:rsidR="00F12436" w:rsidRDefault="00F12436" w:rsidP="00F12436">
      <w:pPr>
        <w:rPr>
          <w:rFonts w:ascii="Arial" w:hAnsi="Arial" w:cs="Arial"/>
          <w:sz w:val="18"/>
          <w:szCs w:val="18"/>
          <w:lang w:val="sk-SK"/>
        </w:rPr>
      </w:pPr>
    </w:p>
    <w:p w:rsidR="00F12436" w:rsidRPr="00CB446C" w:rsidRDefault="00F12436" w:rsidP="00F12436">
      <w:pPr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Nájomné (Prime rent)</w:t>
      </w:r>
    </w:p>
    <w:p w:rsidR="00F12436" w:rsidRDefault="00F12436" w:rsidP="00F12436">
      <w:pPr>
        <w:rPr>
          <w:rFonts w:ascii="Arial" w:hAnsi="Arial" w:cs="Arial"/>
          <w:sz w:val="18"/>
          <w:szCs w:val="18"/>
          <w:lang w:val="sk-SK"/>
        </w:rPr>
      </w:pPr>
    </w:p>
    <w:p w:rsidR="00F12436" w:rsidRDefault="00F12436" w:rsidP="00F12436">
      <w:pPr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Prime rent ostal na nezmenenej úrovni 17,00</w:t>
      </w:r>
      <w:r w:rsidRPr="00CB446C">
        <w:rPr>
          <w:rFonts w:ascii="Arial" w:hAnsi="Arial" w:cs="Arial"/>
          <w:sz w:val="18"/>
          <w:szCs w:val="18"/>
          <w:lang w:val="sk-SK"/>
        </w:rPr>
        <w:t xml:space="preserve"> </w:t>
      </w:r>
      <w:r>
        <w:rPr>
          <w:rFonts w:ascii="Arial" w:hAnsi="Arial" w:cs="Arial"/>
          <w:sz w:val="18"/>
          <w:szCs w:val="18"/>
          <w:lang w:val="sk-SK"/>
        </w:rPr>
        <w:t>EUR/m</w:t>
      </w:r>
      <w:r w:rsidRPr="00CB446C">
        <w:rPr>
          <w:rFonts w:ascii="Arial" w:hAnsi="Arial" w:cs="Arial"/>
          <w:sz w:val="18"/>
          <w:szCs w:val="18"/>
          <w:vertAlign w:val="superscript"/>
          <w:lang w:val="sk-SK"/>
        </w:rPr>
        <w:t>2</w:t>
      </w:r>
      <w:r>
        <w:rPr>
          <w:rFonts w:ascii="Arial" w:hAnsi="Arial" w:cs="Arial"/>
          <w:sz w:val="18"/>
          <w:szCs w:val="18"/>
          <w:lang w:val="sk-SK"/>
        </w:rPr>
        <w:t>/mesiac.</w:t>
      </w:r>
    </w:p>
    <w:p w:rsidR="00F12436" w:rsidRDefault="00F12436" w:rsidP="00F12436">
      <w:pPr>
        <w:rPr>
          <w:rFonts w:ascii="Arial" w:hAnsi="Arial" w:cs="Arial"/>
          <w:sz w:val="18"/>
          <w:szCs w:val="18"/>
        </w:rPr>
      </w:pPr>
    </w:p>
    <w:p w:rsidR="00F12436" w:rsidRDefault="00F12436" w:rsidP="00F12436">
      <w:pPr>
        <w:rPr>
          <w:rFonts w:ascii="Arial" w:hAnsi="Arial" w:cs="Arial"/>
          <w:sz w:val="18"/>
          <w:szCs w:val="18"/>
        </w:rPr>
      </w:pPr>
    </w:p>
    <w:p w:rsidR="00F12436" w:rsidRPr="0041056A" w:rsidRDefault="00F12436" w:rsidP="00F12436">
      <w:pPr>
        <w:jc w:val="both"/>
        <w:outlineLvl w:val="0"/>
        <w:rPr>
          <w:rFonts w:ascii="Arial" w:hAnsi="Arial" w:cs="Arial"/>
          <w:sz w:val="18"/>
          <w:szCs w:val="18"/>
          <w:lang w:val="sk-SK"/>
        </w:rPr>
      </w:pPr>
    </w:p>
    <w:bookmarkEnd w:id="3"/>
    <w:p w:rsidR="00F12436" w:rsidRDefault="00F12436" w:rsidP="00F12436">
      <w:pPr>
        <w:jc w:val="both"/>
        <w:outlineLvl w:val="0"/>
        <w:rPr>
          <w:rFonts w:ascii="Arial" w:hAnsi="Arial" w:cs="Arial"/>
          <w:sz w:val="18"/>
          <w:szCs w:val="18"/>
          <w:lang w:val="sk-SK"/>
        </w:rPr>
      </w:pPr>
    </w:p>
    <w:p w:rsidR="00F12436" w:rsidRPr="005D218F" w:rsidRDefault="00F12436" w:rsidP="00D2293D">
      <w:pPr>
        <w:jc w:val="both"/>
        <w:rPr>
          <w:rFonts w:ascii="Arial" w:hAnsi="Arial" w:cs="Arial"/>
          <w:b/>
          <w:sz w:val="18"/>
          <w:szCs w:val="18"/>
          <w:lang w:val="sk-SK"/>
        </w:rPr>
      </w:pPr>
    </w:p>
    <w:p w:rsidR="00E014C1" w:rsidRPr="005D218F" w:rsidRDefault="00E014C1" w:rsidP="007B4A88">
      <w:pPr>
        <w:jc w:val="both"/>
        <w:rPr>
          <w:rFonts w:ascii="Arial" w:hAnsi="Arial" w:cs="Arial"/>
          <w:b/>
          <w:sz w:val="18"/>
          <w:szCs w:val="18"/>
          <w:lang w:val="sk-SK"/>
        </w:rPr>
      </w:pPr>
    </w:p>
    <w:p w:rsidR="00FC229F" w:rsidRDefault="00330118" w:rsidP="00F12436">
      <w:pPr>
        <w:rPr>
          <w:rFonts w:ascii="Arial" w:hAnsi="Arial" w:cs="Arial"/>
          <w:b/>
          <w:sz w:val="18"/>
          <w:szCs w:val="18"/>
          <w:lang w:val="sk-SK"/>
        </w:rPr>
      </w:pPr>
      <w:r w:rsidRPr="005D218F">
        <w:rPr>
          <w:rFonts w:ascii="Arial" w:hAnsi="Arial" w:cs="Arial"/>
          <w:b/>
          <w:sz w:val="18"/>
          <w:szCs w:val="18"/>
          <w:lang w:val="sk-SK"/>
        </w:rPr>
        <w:br w:type="page"/>
      </w:r>
      <w:r w:rsidR="009E3CF8">
        <w:rPr>
          <w:rFonts w:ascii="Arial" w:hAnsi="Arial" w:cs="Arial"/>
          <w:b/>
          <w:noProof/>
          <w:sz w:val="18"/>
          <w:szCs w:val="1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3488690</wp:posOffset>
                </wp:positionH>
                <wp:positionV relativeFrom="paragraph">
                  <wp:posOffset>-56515</wp:posOffset>
                </wp:positionV>
                <wp:extent cx="2472690" cy="476250"/>
                <wp:effectExtent l="0" t="0" r="3810" b="0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269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2392" w:rsidRPr="00765FE3" w:rsidRDefault="00282392" w:rsidP="00765FE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k-SK"/>
                              </w:rPr>
                            </w:pPr>
                            <w:r w:rsidRPr="00FC229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k-SK"/>
                              </w:rPr>
                              <w:t xml:space="preserve">Celková výmera prenajímateľných plôch </w:t>
                            </w:r>
                            <w:r w:rsidRPr="00765FE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k-SK"/>
                              </w:rPr>
                              <w:t xml:space="preserve">moderných kancelárskych priestorov podľa </w:t>
                            </w:r>
                            <w:r w:rsidRPr="00ED67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sk-SK"/>
                              </w:rPr>
                              <w:t>rozdelenia BRF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3" o:spid="_x0000_s1026" type="#_x0000_t202" style="position:absolute;margin-left:274.7pt;margin-top:-4.45pt;width:194.7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" fillcolor="white [3201]" stroked="f" strokeweight=".5pt">
                <v:textbox>
                  <w:txbxContent>
                    <w:p w:rsidR="00282392" w:rsidRPr="00765FE3" w:rsidRDefault="00282392" w:rsidP="00765FE3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k-SK"/>
                        </w:rPr>
                      </w:pPr>
                      <w:r w:rsidRPr="00FC229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k-SK"/>
                        </w:rPr>
                        <w:t xml:space="preserve">Celková výmera prenajímateľných plôch </w:t>
                      </w:r>
                      <w:r w:rsidRPr="00765FE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k-SK"/>
                        </w:rPr>
                        <w:t xml:space="preserve">moderných kancelárskych priestorov podľa </w:t>
                      </w:r>
                      <w:r w:rsidRPr="00ED677F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sk-SK"/>
                        </w:rPr>
                        <w:t>rozdelenia BRF</w:t>
                      </w:r>
                    </w:p>
                  </w:txbxContent>
                </v:textbox>
              </v:shape>
            </w:pict>
          </mc:Fallback>
        </mc:AlternateContent>
      </w:r>
      <w:r w:rsidR="007B4A88" w:rsidRPr="005D218F">
        <w:rPr>
          <w:rFonts w:ascii="Arial" w:hAnsi="Arial" w:cs="Arial"/>
          <w:b/>
          <w:sz w:val="18"/>
          <w:szCs w:val="18"/>
          <w:lang w:val="sk-SK"/>
        </w:rPr>
        <w:t>Celkov</w:t>
      </w:r>
      <w:r w:rsidR="00FD15ED">
        <w:rPr>
          <w:rFonts w:ascii="Arial" w:hAnsi="Arial" w:cs="Arial"/>
          <w:b/>
          <w:sz w:val="18"/>
          <w:szCs w:val="18"/>
          <w:lang w:val="sk-SK"/>
        </w:rPr>
        <w:t>á</w:t>
      </w:r>
      <w:r w:rsidR="007B4A88" w:rsidRPr="005D218F">
        <w:rPr>
          <w:rFonts w:ascii="Arial" w:hAnsi="Arial" w:cs="Arial"/>
          <w:b/>
          <w:sz w:val="18"/>
          <w:szCs w:val="18"/>
          <w:lang w:val="sk-SK"/>
        </w:rPr>
        <w:t xml:space="preserve"> </w:t>
      </w:r>
      <w:r w:rsidR="00FD15ED">
        <w:rPr>
          <w:rFonts w:ascii="Arial" w:hAnsi="Arial" w:cs="Arial"/>
          <w:b/>
          <w:sz w:val="18"/>
          <w:szCs w:val="18"/>
          <w:lang w:val="sk-SK"/>
        </w:rPr>
        <w:t>výmera prenajímateľných plôch</w:t>
      </w:r>
      <w:r w:rsidR="008D3D33" w:rsidRPr="005D218F">
        <w:rPr>
          <w:rFonts w:ascii="Arial" w:hAnsi="Arial" w:cs="Arial"/>
          <w:b/>
          <w:sz w:val="18"/>
          <w:szCs w:val="18"/>
          <w:lang w:val="sk-SK"/>
        </w:rPr>
        <w:t xml:space="preserve"> </w:t>
      </w:r>
      <w:r w:rsidR="005D218F">
        <w:rPr>
          <w:rFonts w:ascii="Arial" w:hAnsi="Arial" w:cs="Arial"/>
          <w:b/>
          <w:sz w:val="18"/>
          <w:szCs w:val="18"/>
          <w:lang w:val="sk-SK"/>
        </w:rPr>
        <w:t xml:space="preserve">moderných </w:t>
      </w:r>
    </w:p>
    <w:p w:rsidR="008D3D33" w:rsidRDefault="008D3D33" w:rsidP="00FC229F">
      <w:pPr>
        <w:rPr>
          <w:rFonts w:ascii="Arial" w:hAnsi="Arial" w:cs="Arial"/>
          <w:b/>
          <w:sz w:val="18"/>
          <w:szCs w:val="18"/>
          <w:lang w:val="sk-SK"/>
        </w:rPr>
      </w:pPr>
      <w:r w:rsidRPr="005D218F">
        <w:rPr>
          <w:rFonts w:ascii="Arial" w:hAnsi="Arial" w:cs="Arial"/>
          <w:b/>
          <w:sz w:val="18"/>
          <w:szCs w:val="18"/>
          <w:lang w:val="sk-SK"/>
        </w:rPr>
        <w:t>kancelárskych priestorov</w:t>
      </w:r>
      <w:r w:rsidR="00150F93" w:rsidRPr="005D218F">
        <w:rPr>
          <w:rFonts w:ascii="Arial" w:hAnsi="Arial" w:cs="Arial"/>
          <w:b/>
          <w:sz w:val="18"/>
          <w:szCs w:val="18"/>
          <w:lang w:val="sk-SK"/>
        </w:rPr>
        <w:t xml:space="preserve"> podľ</w:t>
      </w:r>
      <w:r w:rsidR="007B4A88" w:rsidRPr="005D218F">
        <w:rPr>
          <w:rFonts w:ascii="Arial" w:hAnsi="Arial" w:cs="Arial"/>
          <w:b/>
          <w:sz w:val="18"/>
          <w:szCs w:val="18"/>
          <w:lang w:val="sk-SK"/>
        </w:rPr>
        <w:t xml:space="preserve">a </w:t>
      </w:r>
      <w:r w:rsidRPr="005D218F">
        <w:rPr>
          <w:rFonts w:ascii="Arial" w:hAnsi="Arial" w:cs="Arial"/>
          <w:b/>
          <w:sz w:val="18"/>
          <w:szCs w:val="18"/>
          <w:lang w:val="sk-SK"/>
        </w:rPr>
        <w:t xml:space="preserve">bratislavských </w:t>
      </w:r>
      <w:r w:rsidR="00ED63F2" w:rsidRPr="005D218F">
        <w:rPr>
          <w:rFonts w:ascii="Arial" w:hAnsi="Arial" w:cs="Arial"/>
          <w:b/>
          <w:sz w:val="18"/>
          <w:szCs w:val="18"/>
          <w:lang w:val="sk-SK"/>
        </w:rPr>
        <w:t>obvodov</w:t>
      </w:r>
    </w:p>
    <w:p w:rsidR="00124A7E" w:rsidRDefault="00124A7E" w:rsidP="00ED63F2">
      <w:pPr>
        <w:jc w:val="both"/>
        <w:rPr>
          <w:noProof/>
        </w:rPr>
      </w:pPr>
    </w:p>
    <w:p w:rsidR="00D14884" w:rsidRPr="00124A7E" w:rsidRDefault="008221A0" w:rsidP="00ED63F2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8FCA82C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7432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450" y="21375"/>
                <wp:lineTo x="21450" y="0"/>
                <wp:lineTo x="0" y="0"/>
              </wp:wrapPolygon>
            </wp:wrapThrough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4E936223-B124-4029-9281-BD9396ABB1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69BF4E0F">
            <wp:simplePos x="0" y="0"/>
            <wp:positionH relativeFrom="column">
              <wp:posOffset>3472815</wp:posOffset>
            </wp:positionH>
            <wp:positionV relativeFrom="paragraph">
              <wp:posOffset>4445</wp:posOffset>
            </wp:positionV>
            <wp:extent cx="2749550" cy="1809750"/>
            <wp:effectExtent l="0" t="0" r="12700" b="0"/>
            <wp:wrapThrough wrapText="bothSides">
              <wp:wrapPolygon edited="0">
                <wp:start x="0" y="0"/>
                <wp:lineTo x="0" y="21373"/>
                <wp:lineTo x="21550" y="21373"/>
                <wp:lineTo x="21550" y="0"/>
                <wp:lineTo x="0" y="0"/>
              </wp:wrapPolygon>
            </wp:wrapThrough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0CB94E7D-DB67-4BE0-99A9-52520505A2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Pr="008221A0">
        <w:rPr>
          <w:noProof/>
        </w:rPr>
        <w:t xml:space="preserve"> </w:t>
      </w:r>
      <w:r w:rsidR="00124A7E">
        <w:rPr>
          <w:noProof/>
        </w:rPr>
        <w:t xml:space="preserve">       </w:t>
      </w:r>
      <w:r w:rsidR="00117638">
        <w:rPr>
          <w:noProof/>
        </w:rPr>
        <w:t xml:space="preserve">            </w:t>
      </w:r>
      <w:r w:rsidR="00C02482">
        <w:rPr>
          <w:noProof/>
        </w:rPr>
        <w:t xml:space="preserve"> </w:t>
      </w:r>
      <w:r w:rsidR="00124A7E">
        <w:rPr>
          <w:noProof/>
        </w:rPr>
        <w:t xml:space="preserve">     </w:t>
      </w:r>
    </w:p>
    <w:p w:rsidR="003374AB" w:rsidRDefault="003374AB" w:rsidP="00EA5FAE">
      <w:pPr>
        <w:jc w:val="both"/>
        <w:outlineLvl w:val="0"/>
        <w:rPr>
          <w:rFonts w:ascii="Arial" w:hAnsi="Arial" w:cs="Arial"/>
          <w:sz w:val="18"/>
          <w:szCs w:val="18"/>
          <w:highlight w:val="yellow"/>
          <w:lang w:val="sk-SK"/>
        </w:rPr>
      </w:pPr>
    </w:p>
    <w:p w:rsidR="009E3CF8" w:rsidRDefault="009E3CF8" w:rsidP="00EA5FAE">
      <w:pPr>
        <w:jc w:val="both"/>
        <w:outlineLvl w:val="0"/>
        <w:rPr>
          <w:rFonts w:ascii="Arial" w:hAnsi="Arial" w:cs="Arial"/>
          <w:sz w:val="18"/>
          <w:szCs w:val="18"/>
          <w:highlight w:val="yellow"/>
          <w:lang w:val="sk-SK"/>
        </w:rPr>
      </w:pPr>
    </w:p>
    <w:p w:rsidR="009E3CF8" w:rsidRDefault="009E3CF8" w:rsidP="00EA5FAE">
      <w:pPr>
        <w:jc w:val="both"/>
        <w:outlineLvl w:val="0"/>
        <w:rPr>
          <w:rFonts w:ascii="Arial" w:hAnsi="Arial" w:cs="Arial"/>
          <w:sz w:val="18"/>
          <w:szCs w:val="18"/>
          <w:highlight w:val="yellow"/>
          <w:lang w:val="sk-SK"/>
        </w:rPr>
      </w:pPr>
    </w:p>
    <w:p w:rsidR="009E3CF8" w:rsidRDefault="009E3CF8" w:rsidP="00EA5FAE">
      <w:pPr>
        <w:jc w:val="both"/>
        <w:outlineLvl w:val="0"/>
        <w:rPr>
          <w:rFonts w:ascii="Arial" w:hAnsi="Arial" w:cs="Arial"/>
          <w:sz w:val="18"/>
          <w:szCs w:val="18"/>
          <w:highlight w:val="yellow"/>
          <w:lang w:val="sk-SK"/>
        </w:rPr>
      </w:pPr>
    </w:p>
    <w:p w:rsidR="009E3CF8" w:rsidRDefault="009E3CF8" w:rsidP="00EA5FAE">
      <w:pPr>
        <w:jc w:val="both"/>
        <w:outlineLvl w:val="0"/>
        <w:rPr>
          <w:rFonts w:ascii="Arial" w:hAnsi="Arial" w:cs="Arial"/>
          <w:sz w:val="18"/>
          <w:szCs w:val="18"/>
          <w:highlight w:val="yellow"/>
          <w:lang w:val="sk-SK"/>
        </w:rPr>
      </w:pPr>
    </w:p>
    <w:p w:rsidR="009E3CF8" w:rsidRDefault="009E3CF8" w:rsidP="00EA5FAE">
      <w:pPr>
        <w:jc w:val="both"/>
        <w:outlineLvl w:val="0"/>
        <w:rPr>
          <w:rFonts w:ascii="Arial" w:hAnsi="Arial" w:cs="Arial"/>
          <w:sz w:val="18"/>
          <w:szCs w:val="18"/>
          <w:highlight w:val="yellow"/>
          <w:lang w:val="sk-SK"/>
        </w:rPr>
      </w:pPr>
    </w:p>
    <w:p w:rsidR="009E3CF8" w:rsidRDefault="009E3CF8" w:rsidP="00EA5FAE">
      <w:pPr>
        <w:jc w:val="both"/>
        <w:outlineLvl w:val="0"/>
        <w:rPr>
          <w:rFonts w:ascii="Arial" w:hAnsi="Arial" w:cs="Arial"/>
          <w:sz w:val="18"/>
          <w:szCs w:val="18"/>
          <w:highlight w:val="yellow"/>
          <w:lang w:val="sk-SK"/>
        </w:rPr>
      </w:pPr>
    </w:p>
    <w:p w:rsidR="009E3CF8" w:rsidRDefault="009E3CF8" w:rsidP="00EA5FAE">
      <w:pPr>
        <w:jc w:val="both"/>
        <w:outlineLvl w:val="0"/>
        <w:rPr>
          <w:rFonts w:ascii="Arial" w:hAnsi="Arial" w:cs="Arial"/>
          <w:sz w:val="18"/>
          <w:szCs w:val="18"/>
          <w:highlight w:val="yellow"/>
          <w:lang w:val="sk-SK"/>
        </w:rPr>
      </w:pPr>
    </w:p>
    <w:p w:rsidR="009E3CF8" w:rsidRDefault="009E3CF8" w:rsidP="00EA5FAE">
      <w:pPr>
        <w:jc w:val="both"/>
        <w:outlineLvl w:val="0"/>
        <w:rPr>
          <w:rFonts w:ascii="Arial" w:hAnsi="Arial" w:cs="Arial"/>
          <w:sz w:val="18"/>
          <w:szCs w:val="18"/>
          <w:highlight w:val="yellow"/>
          <w:lang w:val="sk-SK"/>
        </w:rPr>
      </w:pPr>
    </w:p>
    <w:p w:rsidR="009E3CF8" w:rsidRDefault="009E3CF8" w:rsidP="00EA5FAE">
      <w:pPr>
        <w:jc w:val="both"/>
        <w:outlineLvl w:val="0"/>
        <w:rPr>
          <w:rFonts w:ascii="Arial" w:hAnsi="Arial" w:cs="Arial"/>
          <w:sz w:val="18"/>
          <w:szCs w:val="18"/>
          <w:highlight w:val="yellow"/>
          <w:lang w:val="sk-SK"/>
        </w:rPr>
      </w:pPr>
    </w:p>
    <w:p w:rsidR="009E3CF8" w:rsidRDefault="009E3CF8" w:rsidP="00EA5FAE">
      <w:pPr>
        <w:jc w:val="both"/>
        <w:outlineLvl w:val="0"/>
        <w:rPr>
          <w:rFonts w:ascii="Arial" w:hAnsi="Arial" w:cs="Arial"/>
          <w:sz w:val="18"/>
          <w:szCs w:val="18"/>
          <w:highlight w:val="yellow"/>
          <w:lang w:val="sk-SK"/>
        </w:rPr>
      </w:pPr>
    </w:p>
    <w:p w:rsidR="009E3CF8" w:rsidRDefault="009E3CF8" w:rsidP="00EA5FAE">
      <w:pPr>
        <w:jc w:val="both"/>
        <w:outlineLvl w:val="0"/>
        <w:rPr>
          <w:rFonts w:ascii="Arial" w:hAnsi="Arial" w:cs="Arial"/>
          <w:sz w:val="18"/>
          <w:szCs w:val="18"/>
          <w:highlight w:val="yellow"/>
          <w:lang w:val="sk-SK"/>
        </w:rPr>
      </w:pPr>
    </w:p>
    <w:p w:rsidR="009E3CF8" w:rsidRDefault="009E3CF8" w:rsidP="00EA5FAE">
      <w:pPr>
        <w:jc w:val="both"/>
        <w:outlineLvl w:val="0"/>
        <w:rPr>
          <w:rFonts w:ascii="Arial" w:hAnsi="Arial" w:cs="Arial"/>
          <w:sz w:val="18"/>
          <w:szCs w:val="18"/>
          <w:highlight w:val="yellow"/>
          <w:lang w:val="sk-SK"/>
        </w:rPr>
      </w:pPr>
    </w:p>
    <w:p w:rsidR="009E3CF8" w:rsidRDefault="009E3CF8" w:rsidP="00EA5FAE">
      <w:pPr>
        <w:jc w:val="both"/>
        <w:outlineLvl w:val="0"/>
        <w:rPr>
          <w:rFonts w:ascii="Arial" w:hAnsi="Arial" w:cs="Arial"/>
          <w:sz w:val="18"/>
          <w:szCs w:val="18"/>
          <w:highlight w:val="yellow"/>
          <w:lang w:val="sk-SK"/>
        </w:rPr>
      </w:pPr>
    </w:p>
    <w:p w:rsidR="009E3CF8" w:rsidRDefault="009E3CF8" w:rsidP="00EA5FAE">
      <w:pPr>
        <w:jc w:val="both"/>
        <w:outlineLvl w:val="0"/>
        <w:rPr>
          <w:rFonts w:ascii="Arial" w:hAnsi="Arial" w:cs="Arial"/>
          <w:sz w:val="18"/>
          <w:szCs w:val="18"/>
          <w:highlight w:val="yellow"/>
          <w:lang w:val="sk-SK"/>
        </w:rPr>
      </w:pPr>
    </w:p>
    <w:p w:rsidR="00937CC1" w:rsidRDefault="00937CC1">
      <w:pPr>
        <w:rPr>
          <w:rFonts w:ascii="Arial" w:hAnsi="Arial" w:cs="Arial"/>
          <w:b/>
          <w:bCs/>
          <w:sz w:val="18"/>
          <w:szCs w:val="18"/>
          <w:lang w:val="sk-SK"/>
        </w:rPr>
      </w:pPr>
    </w:p>
    <w:p w:rsidR="00CA18A9" w:rsidRDefault="00150F93" w:rsidP="00416C16">
      <w:pPr>
        <w:jc w:val="both"/>
        <w:outlineLvl w:val="0"/>
        <w:rPr>
          <w:rFonts w:ascii="Arial" w:hAnsi="Arial" w:cs="Arial"/>
          <w:b/>
          <w:bCs/>
          <w:sz w:val="18"/>
          <w:szCs w:val="18"/>
          <w:lang w:val="sk-SK"/>
        </w:rPr>
      </w:pPr>
      <w:r w:rsidRPr="005D218F">
        <w:rPr>
          <w:rFonts w:ascii="Arial" w:hAnsi="Arial" w:cs="Arial"/>
          <w:b/>
          <w:bCs/>
          <w:sz w:val="18"/>
          <w:szCs w:val="18"/>
          <w:lang w:val="sk-SK"/>
        </w:rPr>
        <w:t>Prenájom kancelárskych priestorov podľa sektorov</w:t>
      </w:r>
      <w:r w:rsidR="00C52269" w:rsidRPr="005D218F">
        <w:rPr>
          <w:rFonts w:ascii="Arial" w:hAnsi="Arial" w:cs="Arial"/>
          <w:b/>
          <w:bCs/>
          <w:sz w:val="18"/>
          <w:szCs w:val="18"/>
          <w:lang w:val="sk-SK"/>
        </w:rPr>
        <w:t xml:space="preserve"> </w:t>
      </w:r>
      <w:r w:rsidR="00B12890">
        <w:rPr>
          <w:rFonts w:ascii="Arial" w:hAnsi="Arial" w:cs="Arial"/>
          <w:b/>
          <w:bCs/>
          <w:sz w:val="18"/>
          <w:szCs w:val="18"/>
          <w:lang w:val="sk-SK"/>
        </w:rPr>
        <w:t>za</w:t>
      </w:r>
      <w:r w:rsidR="00E4273C">
        <w:rPr>
          <w:rFonts w:ascii="Arial" w:hAnsi="Arial" w:cs="Arial"/>
          <w:b/>
          <w:bCs/>
          <w:sz w:val="18"/>
          <w:szCs w:val="18"/>
          <w:lang w:val="sk-SK"/>
        </w:rPr>
        <w:t xml:space="preserve"> </w:t>
      </w:r>
      <w:r w:rsidR="00ED677F">
        <w:rPr>
          <w:rFonts w:ascii="Arial" w:hAnsi="Arial" w:cs="Arial"/>
          <w:b/>
          <w:bCs/>
          <w:sz w:val="18"/>
          <w:szCs w:val="18"/>
          <w:lang w:val="sk-SK"/>
        </w:rPr>
        <w:t>tretí</w:t>
      </w:r>
      <w:r w:rsidR="0085693A">
        <w:rPr>
          <w:rFonts w:ascii="Arial" w:hAnsi="Arial" w:cs="Arial"/>
          <w:b/>
          <w:bCs/>
          <w:sz w:val="18"/>
          <w:szCs w:val="18"/>
          <w:lang w:val="sk-SK"/>
        </w:rPr>
        <w:t xml:space="preserve"> </w:t>
      </w:r>
      <w:r w:rsidR="00E4273C">
        <w:rPr>
          <w:rFonts w:ascii="Arial" w:hAnsi="Arial" w:cs="Arial"/>
          <w:b/>
          <w:bCs/>
          <w:sz w:val="18"/>
          <w:szCs w:val="18"/>
          <w:lang w:val="sk-SK"/>
        </w:rPr>
        <w:t>kvartál 201</w:t>
      </w:r>
      <w:r w:rsidR="009813D6">
        <w:rPr>
          <w:rFonts w:ascii="Arial" w:hAnsi="Arial" w:cs="Arial"/>
          <w:b/>
          <w:bCs/>
          <w:sz w:val="18"/>
          <w:szCs w:val="18"/>
          <w:lang w:val="sk-SK"/>
        </w:rPr>
        <w:t>9</w:t>
      </w:r>
      <w:r w:rsidRPr="005D218F">
        <w:rPr>
          <w:rFonts w:ascii="Arial" w:hAnsi="Arial" w:cs="Arial"/>
          <w:b/>
          <w:bCs/>
          <w:sz w:val="18"/>
          <w:szCs w:val="18"/>
          <w:lang w:val="sk-SK"/>
        </w:rPr>
        <w:t>:</w:t>
      </w:r>
    </w:p>
    <w:p w:rsidR="00CA18A9" w:rsidRDefault="00CA18A9" w:rsidP="00416C16">
      <w:pPr>
        <w:jc w:val="both"/>
        <w:outlineLvl w:val="0"/>
        <w:rPr>
          <w:rFonts w:ascii="Arial" w:hAnsi="Arial" w:cs="Arial"/>
          <w:b/>
          <w:bCs/>
          <w:sz w:val="18"/>
          <w:szCs w:val="18"/>
          <w:lang w:val="sk-SK"/>
        </w:rPr>
      </w:pPr>
    </w:p>
    <w:p w:rsidR="00CA18A9" w:rsidRDefault="00F37956" w:rsidP="000802DE">
      <w:pPr>
        <w:jc w:val="center"/>
        <w:outlineLvl w:val="0"/>
        <w:rPr>
          <w:rFonts w:ascii="Arial" w:hAnsi="Arial" w:cs="Arial"/>
          <w:b/>
          <w:bCs/>
          <w:sz w:val="18"/>
          <w:szCs w:val="18"/>
          <w:lang w:val="sk-SK"/>
        </w:rPr>
      </w:pPr>
      <w:r>
        <w:rPr>
          <w:noProof/>
        </w:rPr>
        <w:drawing>
          <wp:inline distT="0" distB="0" distL="0" distR="0" wp14:anchorId="0E8EDD1A" wp14:editId="19C4E36C">
            <wp:extent cx="6479540" cy="3790950"/>
            <wp:effectExtent l="0" t="0" r="16510" b="0"/>
            <wp:docPr id="14" name="Graf 14">
              <a:extLst xmlns:a="http://schemas.openxmlformats.org/drawingml/2006/main">
                <a:ext uri="{FF2B5EF4-FFF2-40B4-BE49-F238E27FC236}">
                  <a16:creationId xmlns:a16="http://schemas.microsoft.com/office/drawing/2014/main" id="{CAA9BE57-5796-4362-8B81-0AF43C596C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74CAA" w:rsidRDefault="00100FF0" w:rsidP="00416C16">
      <w:pPr>
        <w:jc w:val="both"/>
        <w:outlineLvl w:val="0"/>
        <w:rPr>
          <w:rFonts w:ascii="Arial" w:hAnsi="Arial" w:cs="Arial"/>
          <w:b/>
          <w:bCs/>
          <w:sz w:val="18"/>
          <w:szCs w:val="18"/>
          <w:lang w:val="sk-SK"/>
        </w:rPr>
      </w:pPr>
      <w:r>
        <w:rPr>
          <w:rFonts w:ascii="Arial" w:hAnsi="Arial" w:cs="Arial"/>
          <w:b/>
          <w:bCs/>
          <w:sz w:val="18"/>
          <w:szCs w:val="18"/>
          <w:lang w:val="sk-SK"/>
        </w:rPr>
        <w:t xml:space="preserve">  </w:t>
      </w:r>
    </w:p>
    <w:p w:rsidR="00CA18A9" w:rsidRDefault="00CA18A9" w:rsidP="00416C16">
      <w:pPr>
        <w:jc w:val="both"/>
        <w:outlineLvl w:val="0"/>
        <w:rPr>
          <w:rFonts w:ascii="Arial" w:hAnsi="Arial" w:cs="Arial"/>
          <w:b/>
          <w:bCs/>
          <w:sz w:val="18"/>
          <w:szCs w:val="18"/>
          <w:lang w:val="sk-SK"/>
        </w:rPr>
      </w:pPr>
    </w:p>
    <w:p w:rsidR="007B4A88" w:rsidRDefault="007B4A88" w:rsidP="00574D2F">
      <w:pPr>
        <w:jc w:val="both"/>
        <w:outlineLvl w:val="0"/>
        <w:rPr>
          <w:rFonts w:ascii="Arial" w:hAnsi="Arial" w:cs="Arial"/>
          <w:b/>
          <w:bCs/>
          <w:lang w:val="sk-SK"/>
        </w:rPr>
      </w:pPr>
      <w:r w:rsidRPr="005D218F">
        <w:rPr>
          <w:rFonts w:ascii="Arial" w:hAnsi="Arial" w:cs="Arial"/>
          <w:b/>
          <w:bCs/>
          <w:lang w:val="sk-SK"/>
        </w:rPr>
        <w:t xml:space="preserve">Významné transakcie </w:t>
      </w:r>
    </w:p>
    <w:p w:rsidR="008E37C0" w:rsidRDefault="008E37C0" w:rsidP="00574D2F">
      <w:pPr>
        <w:jc w:val="both"/>
        <w:outlineLvl w:val="0"/>
        <w:rPr>
          <w:rFonts w:ascii="Arial" w:hAnsi="Arial" w:cs="Arial"/>
          <w:b/>
          <w:bCs/>
          <w:lang w:val="sk-SK"/>
        </w:rPr>
      </w:pPr>
    </w:p>
    <w:tbl>
      <w:tblPr>
        <w:tblStyle w:val="Mriekatabuky"/>
        <w:tblW w:w="10212" w:type="dxa"/>
        <w:tblLook w:val="04A0" w:firstRow="1" w:lastRow="0" w:firstColumn="1" w:lastColumn="0" w:noHBand="0" w:noVBand="1"/>
      </w:tblPr>
      <w:tblGrid>
        <w:gridCol w:w="4106"/>
        <w:gridCol w:w="1418"/>
        <w:gridCol w:w="2693"/>
        <w:gridCol w:w="1995"/>
      </w:tblGrid>
      <w:tr w:rsidR="000802DE" w:rsidRPr="00A575C7" w:rsidTr="00A575C7">
        <w:trPr>
          <w:trHeight w:val="279"/>
        </w:trPr>
        <w:tc>
          <w:tcPr>
            <w:tcW w:w="4106" w:type="dxa"/>
            <w:vAlign w:val="center"/>
            <w:hideMark/>
          </w:tcPr>
          <w:p w:rsidR="000802DE" w:rsidRPr="00A575C7" w:rsidRDefault="000802DE" w:rsidP="000802DE">
            <w:pPr>
              <w:rPr>
                <w:rFonts w:ascii="Arial" w:hAnsi="Arial" w:cs="Arial"/>
                <w:b/>
                <w:bCs/>
                <w:sz w:val="16"/>
                <w:szCs w:val="16"/>
                <w:lang w:val="sk-SK" w:eastAsia="sk-SK"/>
              </w:rPr>
            </w:pPr>
            <w:r w:rsidRPr="00ED677F">
              <w:rPr>
                <w:rFonts w:ascii="Arial" w:hAnsi="Arial" w:cs="Arial"/>
                <w:b/>
                <w:bCs/>
                <w:sz w:val="18"/>
                <w:szCs w:val="18"/>
                <w:lang w:val="sk-SK" w:eastAsia="sk-SK"/>
              </w:rPr>
              <w:t>Kancelárska budova</w:t>
            </w:r>
          </w:p>
        </w:tc>
        <w:tc>
          <w:tcPr>
            <w:tcW w:w="1418" w:type="dxa"/>
            <w:hideMark/>
          </w:tcPr>
          <w:p w:rsidR="000802DE" w:rsidRPr="00ED677F" w:rsidRDefault="000802DE" w:rsidP="000802DE">
            <w:pPr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ED677F">
              <w:rPr>
                <w:rFonts w:ascii="Arial" w:hAnsi="Arial" w:cs="Arial"/>
                <w:b/>
                <w:bCs/>
                <w:sz w:val="18"/>
                <w:szCs w:val="18"/>
                <w:lang w:val="sk-SK" w:eastAsia="sk-SK"/>
              </w:rPr>
              <w:t>Výmera (m²)</w:t>
            </w:r>
          </w:p>
        </w:tc>
        <w:tc>
          <w:tcPr>
            <w:tcW w:w="2693" w:type="dxa"/>
            <w:hideMark/>
          </w:tcPr>
          <w:p w:rsidR="000802DE" w:rsidRPr="00ED677F" w:rsidRDefault="000802DE" w:rsidP="000802DE">
            <w:pPr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ED677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Sektor</w:t>
            </w:r>
            <w:proofErr w:type="spellEnd"/>
          </w:p>
        </w:tc>
        <w:tc>
          <w:tcPr>
            <w:tcW w:w="1995" w:type="dxa"/>
            <w:hideMark/>
          </w:tcPr>
          <w:p w:rsidR="000802DE" w:rsidRPr="00ED677F" w:rsidRDefault="000802DE" w:rsidP="000802DE">
            <w:pPr>
              <w:jc w:val="both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ED677F">
              <w:rPr>
                <w:rFonts w:ascii="Arial" w:hAnsi="Arial" w:cs="Arial"/>
                <w:b/>
                <w:bCs/>
                <w:sz w:val="18"/>
                <w:szCs w:val="18"/>
                <w:lang w:val="sk-SK" w:eastAsia="sk-SK"/>
              </w:rPr>
              <w:t>Druh transakcie</w:t>
            </w:r>
          </w:p>
        </w:tc>
      </w:tr>
      <w:tr w:rsidR="000802DE" w:rsidRPr="00A575C7" w:rsidTr="00ED677F">
        <w:trPr>
          <w:trHeight w:val="269"/>
        </w:trPr>
        <w:tc>
          <w:tcPr>
            <w:tcW w:w="4106" w:type="dxa"/>
            <w:hideMark/>
          </w:tcPr>
          <w:p w:rsidR="000802DE" w:rsidRPr="006669CB" w:rsidRDefault="00ED677F" w:rsidP="000802DE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 xml:space="preserve">AC </w:t>
            </w: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Ružová</w:t>
            </w:r>
            <w:proofErr w:type="spellEnd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 xml:space="preserve"> dolina</w:t>
            </w:r>
          </w:p>
        </w:tc>
        <w:tc>
          <w:tcPr>
            <w:tcW w:w="1418" w:type="dxa"/>
            <w:noWrap/>
            <w:hideMark/>
          </w:tcPr>
          <w:p w:rsidR="000802DE" w:rsidRPr="006669CB" w:rsidRDefault="00F37956" w:rsidP="00CF0E4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4000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0802DE" w:rsidRPr="006669CB" w:rsidRDefault="00ED677F" w:rsidP="000802DE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Public/Embassy/Trade Council/Diplomatic</w:t>
            </w:r>
          </w:p>
        </w:tc>
        <w:tc>
          <w:tcPr>
            <w:tcW w:w="1995" w:type="dxa"/>
            <w:noWrap/>
            <w:hideMark/>
          </w:tcPr>
          <w:p w:rsidR="000802DE" w:rsidRPr="006669CB" w:rsidRDefault="00A575C7" w:rsidP="000802DE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Renegociácia</w:t>
            </w:r>
            <w:proofErr w:type="spellEnd"/>
          </w:p>
        </w:tc>
      </w:tr>
      <w:tr w:rsidR="000802DE" w:rsidRPr="00A575C7" w:rsidTr="00ED677F">
        <w:trPr>
          <w:trHeight w:val="255"/>
        </w:trPr>
        <w:tc>
          <w:tcPr>
            <w:tcW w:w="4106" w:type="dxa"/>
            <w:hideMark/>
          </w:tcPr>
          <w:p w:rsidR="000802DE" w:rsidRPr="006669CB" w:rsidRDefault="00ED677F" w:rsidP="000802DE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Galvaniho</w:t>
            </w:r>
            <w:proofErr w:type="spellEnd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 xml:space="preserve"> Business Center III</w:t>
            </w:r>
          </w:p>
        </w:tc>
        <w:tc>
          <w:tcPr>
            <w:tcW w:w="1418" w:type="dxa"/>
            <w:noWrap/>
            <w:hideMark/>
          </w:tcPr>
          <w:p w:rsidR="000802DE" w:rsidRPr="006669CB" w:rsidRDefault="00F37956" w:rsidP="00CF0E4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2800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0802DE" w:rsidRPr="006669CB" w:rsidRDefault="000802DE" w:rsidP="000802DE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IT</w:t>
            </w:r>
          </w:p>
        </w:tc>
        <w:tc>
          <w:tcPr>
            <w:tcW w:w="1995" w:type="dxa"/>
            <w:noWrap/>
            <w:hideMark/>
          </w:tcPr>
          <w:p w:rsidR="000802DE" w:rsidRPr="006669CB" w:rsidRDefault="00A575C7" w:rsidP="000802DE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Renegociácia</w:t>
            </w:r>
            <w:proofErr w:type="spellEnd"/>
          </w:p>
        </w:tc>
      </w:tr>
      <w:tr w:rsidR="00ED677F" w:rsidRPr="00A575C7" w:rsidTr="00ED677F">
        <w:trPr>
          <w:trHeight w:val="255"/>
        </w:trPr>
        <w:tc>
          <w:tcPr>
            <w:tcW w:w="4106" w:type="dxa"/>
            <w:hideMark/>
          </w:tcPr>
          <w:p w:rsidR="00ED677F" w:rsidRPr="006669CB" w:rsidRDefault="00ED677F" w:rsidP="00ED677F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Digital Park</w:t>
            </w:r>
          </w:p>
        </w:tc>
        <w:tc>
          <w:tcPr>
            <w:tcW w:w="1418" w:type="dxa"/>
            <w:noWrap/>
            <w:hideMark/>
          </w:tcPr>
          <w:p w:rsidR="00ED677F" w:rsidRPr="006669CB" w:rsidRDefault="00ED677F" w:rsidP="00ED677F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2208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ED677F" w:rsidRPr="006669CB" w:rsidRDefault="00ED677F" w:rsidP="00ED677F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Prof. services</w:t>
            </w:r>
          </w:p>
        </w:tc>
        <w:tc>
          <w:tcPr>
            <w:tcW w:w="1995" w:type="dxa"/>
            <w:noWrap/>
            <w:hideMark/>
          </w:tcPr>
          <w:p w:rsidR="00ED677F" w:rsidRPr="006669CB" w:rsidRDefault="00ED677F" w:rsidP="00ED677F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Renegociácia</w:t>
            </w:r>
            <w:proofErr w:type="spellEnd"/>
          </w:p>
        </w:tc>
      </w:tr>
      <w:tr w:rsidR="00A575C7" w:rsidRPr="00A575C7" w:rsidTr="00ED677F">
        <w:trPr>
          <w:trHeight w:val="255"/>
        </w:trPr>
        <w:tc>
          <w:tcPr>
            <w:tcW w:w="4106" w:type="dxa"/>
            <w:hideMark/>
          </w:tcPr>
          <w:p w:rsidR="00A575C7" w:rsidRPr="006669CB" w:rsidRDefault="00ED677F" w:rsidP="00A575C7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Einpark</w:t>
            </w:r>
            <w:proofErr w:type="spellEnd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 xml:space="preserve"> Offices</w:t>
            </w:r>
          </w:p>
        </w:tc>
        <w:tc>
          <w:tcPr>
            <w:tcW w:w="1418" w:type="dxa"/>
            <w:noWrap/>
            <w:hideMark/>
          </w:tcPr>
          <w:p w:rsidR="00A575C7" w:rsidRPr="006669CB" w:rsidRDefault="00F37956" w:rsidP="00CF0E4C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1506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A575C7" w:rsidRPr="006669CB" w:rsidRDefault="00A575C7" w:rsidP="00A575C7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IT</w:t>
            </w:r>
          </w:p>
        </w:tc>
        <w:tc>
          <w:tcPr>
            <w:tcW w:w="1995" w:type="dxa"/>
            <w:noWrap/>
            <w:hideMark/>
          </w:tcPr>
          <w:p w:rsidR="00A575C7" w:rsidRPr="006669CB" w:rsidRDefault="00ED677F" w:rsidP="00A575C7"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Prednájom</w:t>
            </w:r>
            <w:proofErr w:type="spellEnd"/>
          </w:p>
        </w:tc>
      </w:tr>
      <w:tr w:rsidR="00ED677F" w:rsidRPr="00A575C7" w:rsidTr="00ED677F">
        <w:trPr>
          <w:trHeight w:val="255"/>
        </w:trPr>
        <w:tc>
          <w:tcPr>
            <w:tcW w:w="4106" w:type="dxa"/>
            <w:hideMark/>
          </w:tcPr>
          <w:p w:rsidR="00ED677F" w:rsidRPr="006669CB" w:rsidRDefault="00ED677F" w:rsidP="00ED677F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Eurovea</w:t>
            </w:r>
            <w:proofErr w:type="spellEnd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 xml:space="preserve"> Central</w:t>
            </w:r>
          </w:p>
        </w:tc>
        <w:tc>
          <w:tcPr>
            <w:tcW w:w="1418" w:type="dxa"/>
            <w:noWrap/>
            <w:hideMark/>
          </w:tcPr>
          <w:p w:rsidR="00ED677F" w:rsidRPr="006669CB" w:rsidRDefault="00ED677F" w:rsidP="00ED677F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1080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ED677F" w:rsidRPr="006669CB" w:rsidRDefault="00ED677F" w:rsidP="00ED677F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Finance/ Banking/Insurance</w:t>
            </w:r>
          </w:p>
        </w:tc>
        <w:tc>
          <w:tcPr>
            <w:tcW w:w="1995" w:type="dxa"/>
            <w:noWrap/>
            <w:hideMark/>
          </w:tcPr>
          <w:p w:rsidR="00ED677F" w:rsidRPr="006669CB" w:rsidRDefault="00ED677F" w:rsidP="00ED677F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Nový</w:t>
            </w:r>
            <w:proofErr w:type="spellEnd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nájom</w:t>
            </w:r>
            <w:proofErr w:type="spellEnd"/>
          </w:p>
        </w:tc>
      </w:tr>
      <w:tr w:rsidR="00ED677F" w:rsidRPr="00A575C7" w:rsidTr="00ED677F">
        <w:trPr>
          <w:trHeight w:val="255"/>
        </w:trPr>
        <w:tc>
          <w:tcPr>
            <w:tcW w:w="4106" w:type="dxa"/>
            <w:hideMark/>
          </w:tcPr>
          <w:p w:rsidR="00ED677F" w:rsidRPr="006669CB" w:rsidRDefault="00ED677F" w:rsidP="00ED677F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Zuckermandel</w:t>
            </w:r>
            <w:proofErr w:type="spellEnd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 xml:space="preserve"> Hill Side</w:t>
            </w:r>
          </w:p>
        </w:tc>
        <w:tc>
          <w:tcPr>
            <w:tcW w:w="1418" w:type="dxa"/>
            <w:noWrap/>
            <w:hideMark/>
          </w:tcPr>
          <w:p w:rsidR="00ED677F" w:rsidRPr="006669CB" w:rsidRDefault="00ED677F" w:rsidP="00ED677F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968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ED677F" w:rsidRPr="006669CB" w:rsidRDefault="00ED677F" w:rsidP="00ED677F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Prof. services</w:t>
            </w:r>
          </w:p>
        </w:tc>
        <w:tc>
          <w:tcPr>
            <w:tcW w:w="1995" w:type="dxa"/>
            <w:noWrap/>
            <w:hideMark/>
          </w:tcPr>
          <w:p w:rsidR="00ED677F" w:rsidRPr="006669CB" w:rsidRDefault="00ED677F" w:rsidP="00ED677F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Nový</w:t>
            </w:r>
            <w:proofErr w:type="spellEnd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nájom</w:t>
            </w:r>
            <w:proofErr w:type="spellEnd"/>
          </w:p>
        </w:tc>
      </w:tr>
      <w:tr w:rsidR="00ED677F" w:rsidRPr="00A575C7" w:rsidTr="00ED677F">
        <w:trPr>
          <w:trHeight w:val="255"/>
        </w:trPr>
        <w:tc>
          <w:tcPr>
            <w:tcW w:w="4106" w:type="dxa"/>
            <w:hideMark/>
          </w:tcPr>
          <w:p w:rsidR="00ED677F" w:rsidRPr="006669CB" w:rsidRDefault="00ED677F" w:rsidP="00ED677F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Green Point Offices</w:t>
            </w:r>
          </w:p>
        </w:tc>
        <w:tc>
          <w:tcPr>
            <w:tcW w:w="1418" w:type="dxa"/>
            <w:noWrap/>
            <w:hideMark/>
          </w:tcPr>
          <w:p w:rsidR="00ED677F" w:rsidRPr="006669CB" w:rsidRDefault="00ED677F" w:rsidP="00ED677F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927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ED677F" w:rsidRPr="006669CB" w:rsidRDefault="00ED677F" w:rsidP="00ED677F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Manufacturing/</w:t>
            </w: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br/>
              <w:t>Construction</w:t>
            </w:r>
          </w:p>
        </w:tc>
        <w:tc>
          <w:tcPr>
            <w:tcW w:w="1995" w:type="dxa"/>
            <w:noWrap/>
            <w:hideMark/>
          </w:tcPr>
          <w:p w:rsidR="00ED677F" w:rsidRPr="006669CB" w:rsidRDefault="00ED677F" w:rsidP="00ED677F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Nový</w:t>
            </w:r>
            <w:proofErr w:type="spellEnd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nájom</w:t>
            </w:r>
            <w:proofErr w:type="spellEnd"/>
          </w:p>
        </w:tc>
      </w:tr>
      <w:tr w:rsidR="00ED677F" w:rsidRPr="00A575C7" w:rsidTr="00ED677F">
        <w:trPr>
          <w:trHeight w:val="255"/>
        </w:trPr>
        <w:tc>
          <w:tcPr>
            <w:tcW w:w="4106" w:type="dxa"/>
            <w:hideMark/>
          </w:tcPr>
          <w:p w:rsidR="00ED677F" w:rsidRPr="006669CB" w:rsidRDefault="00ED677F" w:rsidP="00ED677F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Green Point Offices</w:t>
            </w:r>
          </w:p>
        </w:tc>
        <w:tc>
          <w:tcPr>
            <w:tcW w:w="1418" w:type="dxa"/>
            <w:noWrap/>
            <w:hideMark/>
          </w:tcPr>
          <w:p w:rsidR="00ED677F" w:rsidRPr="006669CB" w:rsidRDefault="00ED677F" w:rsidP="00ED677F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927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ED677F" w:rsidRPr="006669CB" w:rsidRDefault="00ED677F" w:rsidP="00ED677F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Manufacturing/</w:t>
            </w: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br/>
              <w:t>Construction</w:t>
            </w:r>
          </w:p>
        </w:tc>
        <w:tc>
          <w:tcPr>
            <w:tcW w:w="1995" w:type="dxa"/>
            <w:noWrap/>
            <w:hideMark/>
          </w:tcPr>
          <w:p w:rsidR="00ED677F" w:rsidRPr="006669CB" w:rsidRDefault="00ED677F" w:rsidP="00ED677F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Nový</w:t>
            </w:r>
            <w:proofErr w:type="spellEnd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nájom</w:t>
            </w:r>
            <w:proofErr w:type="spellEnd"/>
          </w:p>
        </w:tc>
      </w:tr>
      <w:tr w:rsidR="006669CB" w:rsidRPr="00A575C7" w:rsidTr="00ED677F">
        <w:trPr>
          <w:trHeight w:val="255"/>
        </w:trPr>
        <w:tc>
          <w:tcPr>
            <w:tcW w:w="4106" w:type="dxa"/>
            <w:hideMark/>
          </w:tcPr>
          <w:p w:rsidR="006669CB" w:rsidRPr="006669CB" w:rsidRDefault="006669CB" w:rsidP="006669CB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 xml:space="preserve">AC </w:t>
            </w: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Ružová</w:t>
            </w:r>
            <w:proofErr w:type="spellEnd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 xml:space="preserve"> dolina</w:t>
            </w:r>
          </w:p>
        </w:tc>
        <w:tc>
          <w:tcPr>
            <w:tcW w:w="1418" w:type="dxa"/>
            <w:noWrap/>
            <w:hideMark/>
          </w:tcPr>
          <w:p w:rsidR="006669CB" w:rsidRPr="006669CB" w:rsidRDefault="006669CB" w:rsidP="006669CB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917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669CB" w:rsidRPr="006669CB" w:rsidRDefault="006669CB" w:rsidP="006669CB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Public/Embassy/Trade Council/Diplomatic</w:t>
            </w:r>
          </w:p>
        </w:tc>
        <w:tc>
          <w:tcPr>
            <w:tcW w:w="1995" w:type="dxa"/>
            <w:noWrap/>
            <w:hideMark/>
          </w:tcPr>
          <w:p w:rsidR="006669CB" w:rsidRPr="006669CB" w:rsidRDefault="006669CB" w:rsidP="006669CB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Nový</w:t>
            </w:r>
            <w:proofErr w:type="spellEnd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nájom</w:t>
            </w:r>
            <w:proofErr w:type="spellEnd"/>
          </w:p>
        </w:tc>
      </w:tr>
      <w:tr w:rsidR="00ED677F" w:rsidRPr="00A575C7" w:rsidTr="00ED677F">
        <w:trPr>
          <w:trHeight w:val="255"/>
        </w:trPr>
        <w:tc>
          <w:tcPr>
            <w:tcW w:w="4106" w:type="dxa"/>
            <w:hideMark/>
          </w:tcPr>
          <w:p w:rsidR="00ED677F" w:rsidRPr="006669CB" w:rsidRDefault="00ED677F" w:rsidP="00ED677F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Apollo Business Center II</w:t>
            </w:r>
          </w:p>
        </w:tc>
        <w:tc>
          <w:tcPr>
            <w:tcW w:w="1418" w:type="dxa"/>
            <w:noWrap/>
            <w:hideMark/>
          </w:tcPr>
          <w:p w:rsidR="00ED677F" w:rsidRPr="006669CB" w:rsidRDefault="00ED677F" w:rsidP="00ED677F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900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ED677F" w:rsidRPr="006669CB" w:rsidRDefault="00ED677F" w:rsidP="00ED677F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Prof. services</w:t>
            </w:r>
          </w:p>
        </w:tc>
        <w:tc>
          <w:tcPr>
            <w:tcW w:w="1995" w:type="dxa"/>
            <w:noWrap/>
            <w:hideMark/>
          </w:tcPr>
          <w:p w:rsidR="00ED677F" w:rsidRPr="006669CB" w:rsidRDefault="00ED677F" w:rsidP="00ED677F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Renegociácia</w:t>
            </w:r>
            <w:proofErr w:type="spellEnd"/>
          </w:p>
        </w:tc>
      </w:tr>
      <w:tr w:rsidR="00ED677F" w:rsidRPr="00A575C7" w:rsidTr="00ED677F">
        <w:trPr>
          <w:trHeight w:val="255"/>
        </w:trPr>
        <w:tc>
          <w:tcPr>
            <w:tcW w:w="4106" w:type="dxa"/>
            <w:hideMark/>
          </w:tcPr>
          <w:p w:rsidR="00ED677F" w:rsidRPr="006669CB" w:rsidRDefault="00ED677F" w:rsidP="00ED677F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Lazaretská</w:t>
            </w:r>
            <w:proofErr w:type="spellEnd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 xml:space="preserve"> 12</w:t>
            </w:r>
          </w:p>
        </w:tc>
        <w:tc>
          <w:tcPr>
            <w:tcW w:w="1418" w:type="dxa"/>
            <w:noWrap/>
            <w:hideMark/>
          </w:tcPr>
          <w:p w:rsidR="00ED677F" w:rsidRPr="006669CB" w:rsidRDefault="00ED677F" w:rsidP="00ED677F">
            <w:pPr>
              <w:jc w:val="right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851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ED677F" w:rsidRPr="006669CB" w:rsidRDefault="00ED677F" w:rsidP="00ED677F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IT</w:t>
            </w:r>
          </w:p>
        </w:tc>
        <w:tc>
          <w:tcPr>
            <w:tcW w:w="1995" w:type="dxa"/>
            <w:noWrap/>
            <w:hideMark/>
          </w:tcPr>
          <w:p w:rsidR="00ED677F" w:rsidRPr="006669CB" w:rsidRDefault="00ED677F" w:rsidP="00ED677F">
            <w:pPr>
              <w:jc w:val="both"/>
              <w:outlineLvl w:val="0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6669CB">
              <w:rPr>
                <w:rFonts w:ascii="Arial" w:hAnsi="Arial" w:cs="Arial"/>
                <w:sz w:val="16"/>
                <w:szCs w:val="16"/>
                <w:lang w:val="en-GB"/>
              </w:rPr>
              <w:t>Renegociácia</w:t>
            </w:r>
            <w:proofErr w:type="spellEnd"/>
          </w:p>
        </w:tc>
      </w:tr>
    </w:tbl>
    <w:p w:rsidR="00ED677F" w:rsidRDefault="00ED677F" w:rsidP="00F12436">
      <w:pPr>
        <w:jc w:val="both"/>
        <w:rPr>
          <w:rFonts w:ascii="Arial" w:hAnsi="Arial" w:cs="Arial"/>
          <w:sz w:val="18"/>
          <w:szCs w:val="18"/>
          <w:lang w:val="sk-SK"/>
        </w:rPr>
      </w:pPr>
    </w:p>
    <w:p w:rsidR="00F12436" w:rsidRDefault="00F12436" w:rsidP="00F12436">
      <w:pPr>
        <w:jc w:val="both"/>
        <w:rPr>
          <w:rFonts w:ascii="Arial" w:hAnsi="Arial" w:cs="Arial"/>
          <w:sz w:val="18"/>
          <w:szCs w:val="18"/>
          <w:lang w:val="sk-SK"/>
        </w:rPr>
      </w:pPr>
      <w:r w:rsidRPr="005D218F">
        <w:rPr>
          <w:rFonts w:ascii="Arial" w:hAnsi="Arial" w:cs="Arial"/>
          <w:sz w:val="18"/>
          <w:szCs w:val="18"/>
          <w:lang w:val="sk-SK"/>
        </w:rPr>
        <w:t xml:space="preserve">Trh kancelárskych priestorov v Bratislave rozdeľuje Bratislava </w:t>
      </w:r>
      <w:proofErr w:type="spellStart"/>
      <w:r w:rsidRPr="005D218F">
        <w:rPr>
          <w:rFonts w:ascii="Arial" w:hAnsi="Arial" w:cs="Arial"/>
          <w:sz w:val="18"/>
          <w:szCs w:val="18"/>
          <w:lang w:val="sk-SK"/>
        </w:rPr>
        <w:t>Research</w:t>
      </w:r>
      <w:proofErr w:type="spellEnd"/>
      <w:r w:rsidRPr="005D218F">
        <w:rPr>
          <w:rFonts w:ascii="Arial" w:hAnsi="Arial" w:cs="Arial"/>
          <w:sz w:val="18"/>
          <w:szCs w:val="18"/>
          <w:lang w:val="sk-SK"/>
        </w:rPr>
        <w:t xml:space="preserve"> </w:t>
      </w:r>
      <w:proofErr w:type="spellStart"/>
      <w:r w:rsidRPr="005D218F">
        <w:rPr>
          <w:rFonts w:ascii="Arial" w:hAnsi="Arial" w:cs="Arial"/>
          <w:sz w:val="18"/>
          <w:szCs w:val="18"/>
          <w:lang w:val="sk-SK"/>
        </w:rPr>
        <w:t>Forum</w:t>
      </w:r>
      <w:proofErr w:type="spellEnd"/>
      <w:r w:rsidRPr="005D218F">
        <w:rPr>
          <w:rFonts w:ascii="Arial" w:hAnsi="Arial" w:cs="Arial"/>
          <w:sz w:val="18"/>
          <w:szCs w:val="18"/>
          <w:lang w:val="sk-SK"/>
        </w:rPr>
        <w:t xml:space="preserve"> (BRF) na nasledujúce časti: centrum mesta, vnútorná a okrajová časť Bratislavy. Dáta uvádzané </w:t>
      </w:r>
      <w:r w:rsidR="00ED677F">
        <w:rPr>
          <w:rFonts w:ascii="Arial" w:hAnsi="Arial" w:cs="Arial"/>
          <w:sz w:val="18"/>
          <w:szCs w:val="18"/>
          <w:lang w:val="sk-SK"/>
        </w:rPr>
        <w:t>vyššie</w:t>
      </w:r>
      <w:r w:rsidRPr="005D218F">
        <w:rPr>
          <w:rFonts w:ascii="Arial" w:hAnsi="Arial" w:cs="Arial"/>
          <w:sz w:val="18"/>
          <w:szCs w:val="18"/>
          <w:lang w:val="sk-SK"/>
        </w:rPr>
        <w:t xml:space="preserve"> sú rozdeľované </w:t>
      </w:r>
      <w:r>
        <w:rPr>
          <w:rFonts w:ascii="Arial" w:hAnsi="Arial" w:cs="Arial"/>
          <w:sz w:val="18"/>
          <w:szCs w:val="18"/>
          <w:lang w:val="sk-SK"/>
        </w:rPr>
        <w:t xml:space="preserve">aj </w:t>
      </w:r>
      <w:r w:rsidRPr="005D218F">
        <w:rPr>
          <w:rFonts w:ascii="Arial" w:hAnsi="Arial" w:cs="Arial"/>
          <w:sz w:val="18"/>
          <w:szCs w:val="18"/>
          <w:lang w:val="sk-SK"/>
        </w:rPr>
        <w:t>podľa okresov Bratislavy.</w:t>
      </w:r>
    </w:p>
    <w:p w:rsidR="00F12436" w:rsidRDefault="00F12436" w:rsidP="00F12436">
      <w:pPr>
        <w:jc w:val="both"/>
        <w:rPr>
          <w:rFonts w:ascii="Arial" w:hAnsi="Arial" w:cs="Arial"/>
          <w:sz w:val="18"/>
          <w:szCs w:val="18"/>
          <w:lang w:val="sk-SK"/>
        </w:rPr>
      </w:pPr>
    </w:p>
    <w:p w:rsidR="00F12436" w:rsidRPr="005D218F" w:rsidRDefault="00F12436" w:rsidP="00F12436">
      <w:pPr>
        <w:jc w:val="center"/>
        <w:rPr>
          <w:rFonts w:ascii="Arial" w:hAnsi="Arial" w:cs="Arial"/>
          <w:sz w:val="18"/>
          <w:szCs w:val="18"/>
          <w:lang w:val="sk-SK"/>
        </w:rPr>
      </w:pPr>
      <w:r w:rsidRPr="00F12436">
        <w:rPr>
          <w:rFonts w:ascii="Arial" w:hAnsi="Arial" w:cs="Arial"/>
          <w:noProof/>
          <w:sz w:val="18"/>
          <w:szCs w:val="18"/>
          <w:lang w:val="sk-SK"/>
        </w:rPr>
        <w:drawing>
          <wp:inline distT="0" distB="0" distL="0" distR="0">
            <wp:extent cx="3240000" cy="3234520"/>
            <wp:effectExtent l="19050" t="0" r="0" b="0"/>
            <wp:docPr id="9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23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12436" w:rsidRPr="00CB446C" w:rsidRDefault="00F12436" w:rsidP="007733FB">
      <w:pPr>
        <w:rPr>
          <w:rFonts w:ascii="Arial" w:hAnsi="Arial" w:cs="Arial"/>
          <w:sz w:val="18"/>
          <w:szCs w:val="18"/>
          <w:lang w:val="sk-SK"/>
        </w:rPr>
      </w:pPr>
    </w:p>
    <w:p w:rsidR="001A4A53" w:rsidRPr="005D218F" w:rsidRDefault="001A4A53" w:rsidP="007733FB">
      <w:pPr>
        <w:rPr>
          <w:rFonts w:ascii="Arial" w:hAnsi="Arial" w:cs="Arial"/>
          <w:bCs/>
          <w:sz w:val="18"/>
          <w:szCs w:val="18"/>
          <w:lang w:val="sk-SK"/>
        </w:rPr>
      </w:pPr>
    </w:p>
    <w:p w:rsidR="001A4A53" w:rsidRDefault="001A4A53" w:rsidP="007733FB">
      <w:pPr>
        <w:rPr>
          <w:rFonts w:ascii="Arial" w:hAnsi="Arial" w:cs="Arial"/>
          <w:bCs/>
          <w:sz w:val="18"/>
          <w:szCs w:val="18"/>
          <w:lang w:val="sk-SK"/>
        </w:rPr>
      </w:pPr>
    </w:p>
    <w:p w:rsidR="00F12436" w:rsidRDefault="00F12436" w:rsidP="00F12436">
      <w:pPr>
        <w:jc w:val="both"/>
        <w:rPr>
          <w:rFonts w:ascii="Arial" w:hAnsi="Arial" w:cs="Arial"/>
          <w:b/>
          <w:sz w:val="18"/>
          <w:szCs w:val="18"/>
          <w:lang w:val="sk-SK"/>
        </w:rPr>
      </w:pPr>
    </w:p>
    <w:p w:rsidR="00F12436" w:rsidRPr="00F12436" w:rsidRDefault="00F12436" w:rsidP="00F12436">
      <w:pPr>
        <w:jc w:val="both"/>
        <w:rPr>
          <w:rFonts w:ascii="Arial" w:hAnsi="Arial" w:cs="Arial"/>
          <w:b/>
          <w:sz w:val="18"/>
          <w:szCs w:val="18"/>
          <w:lang w:val="sk-SK"/>
        </w:rPr>
      </w:pPr>
      <w:r w:rsidRPr="00F12436">
        <w:rPr>
          <w:rFonts w:ascii="Arial" w:hAnsi="Arial" w:cs="Arial"/>
          <w:b/>
          <w:sz w:val="18"/>
          <w:szCs w:val="18"/>
          <w:lang w:val="sk-SK"/>
        </w:rPr>
        <w:t xml:space="preserve">O Bratislava </w:t>
      </w:r>
      <w:proofErr w:type="spellStart"/>
      <w:r w:rsidRPr="00F12436">
        <w:rPr>
          <w:rFonts w:ascii="Arial" w:hAnsi="Arial" w:cs="Arial"/>
          <w:b/>
          <w:sz w:val="18"/>
          <w:szCs w:val="18"/>
          <w:lang w:val="sk-SK"/>
        </w:rPr>
        <w:t>Research</w:t>
      </w:r>
      <w:proofErr w:type="spellEnd"/>
      <w:r w:rsidRPr="00F12436">
        <w:rPr>
          <w:rFonts w:ascii="Arial" w:hAnsi="Arial" w:cs="Arial"/>
          <w:b/>
          <w:sz w:val="18"/>
          <w:szCs w:val="18"/>
          <w:lang w:val="sk-SK"/>
        </w:rPr>
        <w:t xml:space="preserve"> </w:t>
      </w:r>
      <w:proofErr w:type="spellStart"/>
      <w:r w:rsidRPr="00F12436">
        <w:rPr>
          <w:rFonts w:ascii="Arial" w:hAnsi="Arial" w:cs="Arial"/>
          <w:b/>
          <w:sz w:val="18"/>
          <w:szCs w:val="18"/>
          <w:lang w:val="sk-SK"/>
        </w:rPr>
        <w:t>Forum</w:t>
      </w:r>
      <w:proofErr w:type="spellEnd"/>
    </w:p>
    <w:p w:rsidR="00F12436" w:rsidRDefault="00F12436" w:rsidP="00F12436">
      <w:pPr>
        <w:jc w:val="both"/>
        <w:rPr>
          <w:rFonts w:ascii="Arial" w:hAnsi="Arial" w:cs="Arial"/>
          <w:sz w:val="18"/>
          <w:szCs w:val="18"/>
          <w:lang w:val="sk-SK"/>
        </w:rPr>
      </w:pPr>
    </w:p>
    <w:p w:rsidR="00F12436" w:rsidRPr="005D218F" w:rsidRDefault="00F12436" w:rsidP="00F12436">
      <w:pPr>
        <w:jc w:val="both"/>
        <w:rPr>
          <w:rFonts w:ascii="Arial" w:hAnsi="Arial" w:cs="Arial"/>
          <w:sz w:val="18"/>
          <w:szCs w:val="18"/>
          <w:lang w:val="sk-SK"/>
        </w:rPr>
      </w:pPr>
      <w:r>
        <w:rPr>
          <w:rFonts w:ascii="Arial" w:hAnsi="Arial" w:cs="Arial"/>
          <w:sz w:val="18"/>
          <w:szCs w:val="18"/>
          <w:lang w:val="sk-SK"/>
        </w:rPr>
        <w:t>Č</w:t>
      </w:r>
      <w:r w:rsidRPr="005D218F">
        <w:rPr>
          <w:rFonts w:ascii="Arial" w:hAnsi="Arial" w:cs="Arial"/>
          <w:sz w:val="18"/>
          <w:szCs w:val="18"/>
          <w:lang w:val="sk-SK"/>
        </w:rPr>
        <w:t xml:space="preserve">lenovia tohto fóra – </w:t>
      </w:r>
      <w:proofErr w:type="spellStart"/>
      <w:r w:rsidRPr="005D218F">
        <w:rPr>
          <w:rFonts w:ascii="Arial" w:hAnsi="Arial" w:cs="Arial"/>
          <w:sz w:val="18"/>
          <w:szCs w:val="18"/>
          <w:lang w:val="sk-SK"/>
        </w:rPr>
        <w:t>Cushman</w:t>
      </w:r>
      <w:proofErr w:type="spellEnd"/>
      <w:r w:rsidRPr="005D218F">
        <w:rPr>
          <w:rFonts w:ascii="Arial" w:hAnsi="Arial" w:cs="Arial"/>
          <w:sz w:val="18"/>
          <w:szCs w:val="18"/>
          <w:lang w:val="sk-SK"/>
        </w:rPr>
        <w:t xml:space="preserve"> &amp; </w:t>
      </w:r>
      <w:proofErr w:type="spellStart"/>
      <w:r w:rsidRPr="005D218F">
        <w:rPr>
          <w:rFonts w:ascii="Arial" w:hAnsi="Arial" w:cs="Arial"/>
          <w:sz w:val="18"/>
          <w:szCs w:val="18"/>
          <w:lang w:val="sk-SK"/>
        </w:rPr>
        <w:t>Wakefield</w:t>
      </w:r>
      <w:proofErr w:type="spellEnd"/>
      <w:r w:rsidRPr="005D218F">
        <w:rPr>
          <w:rFonts w:ascii="Arial" w:hAnsi="Arial" w:cs="Arial"/>
          <w:sz w:val="18"/>
          <w:szCs w:val="18"/>
          <w:lang w:val="sk-SK"/>
        </w:rPr>
        <w:t xml:space="preserve">, CBRE, </w:t>
      </w:r>
      <w:proofErr w:type="spellStart"/>
      <w:r w:rsidRPr="005D218F">
        <w:rPr>
          <w:rFonts w:ascii="Arial" w:hAnsi="Arial" w:cs="Arial"/>
          <w:sz w:val="18"/>
          <w:szCs w:val="18"/>
          <w:lang w:val="sk-SK"/>
        </w:rPr>
        <w:t>Colliers</w:t>
      </w:r>
      <w:proofErr w:type="spellEnd"/>
      <w:r w:rsidRPr="005D218F">
        <w:rPr>
          <w:rFonts w:ascii="Arial" w:hAnsi="Arial" w:cs="Arial"/>
          <w:sz w:val="18"/>
          <w:szCs w:val="18"/>
          <w:lang w:val="sk-SK"/>
        </w:rPr>
        <w:t xml:space="preserve"> International a JLL zdieľajú informácie, ktoré nie sú dôverné s cieľom poskytnúť klientom a verejnosti konzistentné, správne a transparentné dáta o trhu kancelárskych priestorov v Bratislave.</w:t>
      </w:r>
    </w:p>
    <w:p w:rsidR="00F12436" w:rsidRPr="005D218F" w:rsidRDefault="00F12436" w:rsidP="00F12436">
      <w:pPr>
        <w:jc w:val="both"/>
        <w:rPr>
          <w:rFonts w:ascii="Arial" w:hAnsi="Arial" w:cs="Arial"/>
          <w:sz w:val="18"/>
          <w:szCs w:val="18"/>
          <w:lang w:val="sk-SK"/>
        </w:rPr>
      </w:pPr>
    </w:p>
    <w:p w:rsidR="00F12436" w:rsidRPr="005D218F" w:rsidRDefault="00F12436" w:rsidP="00F12436">
      <w:pPr>
        <w:jc w:val="both"/>
        <w:rPr>
          <w:rFonts w:ascii="Arial" w:hAnsi="Arial" w:cs="Arial"/>
          <w:sz w:val="18"/>
          <w:szCs w:val="18"/>
          <w:lang w:val="sk-SK"/>
        </w:rPr>
      </w:pPr>
    </w:p>
    <w:p w:rsidR="0065627E" w:rsidRDefault="0065627E" w:rsidP="007733FB">
      <w:pPr>
        <w:rPr>
          <w:rFonts w:ascii="Arial" w:hAnsi="Arial" w:cs="Arial"/>
          <w:bCs/>
          <w:sz w:val="18"/>
          <w:szCs w:val="18"/>
          <w:lang w:val="sk-SK"/>
        </w:rPr>
      </w:pPr>
    </w:p>
    <w:p w:rsidR="00F12436" w:rsidRPr="00CB446C" w:rsidRDefault="00F12436" w:rsidP="00F12436">
      <w:pPr>
        <w:jc w:val="both"/>
        <w:rPr>
          <w:rFonts w:ascii="Garamond" w:hAnsi="Garamond"/>
          <w:sz w:val="24"/>
          <w:lang w:val="sk-SK"/>
        </w:rPr>
      </w:pPr>
      <w:r w:rsidRPr="005D218F">
        <w:rPr>
          <w:rFonts w:ascii="Arial" w:hAnsi="Arial" w:cs="Arial"/>
          <w:b/>
          <w:noProof/>
          <w:sz w:val="18"/>
          <w:szCs w:val="18"/>
          <w:lang w:val="sk-SK"/>
        </w:rPr>
        <w:t>Definície</w:t>
      </w:r>
    </w:p>
    <w:p w:rsidR="00F12436" w:rsidRPr="005D218F" w:rsidRDefault="00F12436" w:rsidP="00F12436">
      <w:pPr>
        <w:spacing w:before="120"/>
        <w:jc w:val="both"/>
        <w:outlineLvl w:val="0"/>
        <w:rPr>
          <w:rFonts w:ascii="Arial" w:hAnsi="Arial" w:cs="Arial"/>
          <w:i/>
          <w:noProof/>
          <w:sz w:val="18"/>
          <w:szCs w:val="18"/>
          <w:lang w:val="sk-SK"/>
        </w:rPr>
      </w:pPr>
      <w:r w:rsidRPr="005D218F">
        <w:rPr>
          <w:rFonts w:ascii="Arial" w:hAnsi="Arial" w:cs="Arial"/>
          <w:b/>
          <w:i/>
          <w:noProof/>
          <w:sz w:val="18"/>
          <w:szCs w:val="18"/>
          <w:lang w:val="sk-SK"/>
        </w:rPr>
        <w:t>Ponuka kancelárskych priestorov – celkový objem kancelárskych priestorov (Stock)</w:t>
      </w:r>
      <w:r w:rsidRPr="005D218F">
        <w:rPr>
          <w:rFonts w:ascii="Arial" w:hAnsi="Arial" w:cs="Arial"/>
          <w:i/>
          <w:noProof/>
          <w:sz w:val="18"/>
          <w:szCs w:val="18"/>
          <w:lang w:val="sk-SK"/>
        </w:rPr>
        <w:t>: Skolaudované budovy po roku 1993 – zrekonštruované alebo novopostavené, prenajaté alebo v ponuke v štandarde A alebo B v prenájme vlastníka alebo iných nájomníkov. Budovy vo vlastníctve štátu a budovy menšie ako 800 m² nie sú súčasťou celkového objemu kancelárskych priestorov (Stock).</w:t>
      </w:r>
    </w:p>
    <w:p w:rsidR="00F12436" w:rsidRPr="005D218F" w:rsidRDefault="00F12436" w:rsidP="00F12436">
      <w:pPr>
        <w:spacing w:before="120" w:after="120"/>
        <w:jc w:val="both"/>
        <w:outlineLvl w:val="0"/>
        <w:rPr>
          <w:rFonts w:ascii="Arial" w:hAnsi="Arial" w:cs="Arial"/>
          <w:i/>
          <w:noProof/>
          <w:sz w:val="18"/>
          <w:szCs w:val="18"/>
          <w:lang w:val="sk-SK"/>
        </w:rPr>
      </w:pPr>
      <w:r w:rsidRPr="005D218F">
        <w:rPr>
          <w:rFonts w:ascii="Arial" w:hAnsi="Arial" w:cs="Arial"/>
          <w:b/>
          <w:i/>
          <w:noProof/>
          <w:sz w:val="18"/>
          <w:szCs w:val="18"/>
          <w:lang w:val="sk-SK"/>
        </w:rPr>
        <w:t>Nová ponuka (New supply)</w:t>
      </w:r>
      <w:r w:rsidRPr="005D218F">
        <w:rPr>
          <w:rFonts w:ascii="Arial" w:hAnsi="Arial" w:cs="Arial"/>
          <w:i/>
          <w:noProof/>
          <w:sz w:val="18"/>
          <w:szCs w:val="18"/>
          <w:lang w:val="sk-SK"/>
        </w:rPr>
        <w:t>: Zrekonštruované a novopostavené stavby v určitom časovom období.</w:t>
      </w:r>
    </w:p>
    <w:p w:rsidR="00F12436" w:rsidRPr="005D218F" w:rsidRDefault="00F12436" w:rsidP="00F1243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i/>
          <w:noProof/>
          <w:sz w:val="18"/>
          <w:szCs w:val="18"/>
          <w:lang w:val="sk-SK"/>
        </w:rPr>
      </w:pPr>
      <w:r w:rsidRPr="005D218F">
        <w:rPr>
          <w:rFonts w:ascii="Arial" w:hAnsi="Arial" w:cs="Arial"/>
          <w:b/>
          <w:i/>
          <w:noProof/>
          <w:sz w:val="18"/>
          <w:szCs w:val="18"/>
          <w:lang w:val="sk-SK"/>
        </w:rPr>
        <w:t>Budovy v štandarde A</w:t>
      </w:r>
      <w:r w:rsidRPr="005D218F">
        <w:rPr>
          <w:rFonts w:ascii="Arial" w:hAnsi="Arial" w:cs="Arial"/>
          <w:i/>
          <w:noProof/>
          <w:sz w:val="18"/>
          <w:szCs w:val="18"/>
          <w:lang w:val="sk-SK"/>
        </w:rPr>
        <w:t>: Zaradenie zahŕňa splnenie nadštandartných kritérií vrátane nasledujúcich: integrovaný klimatizačný systém, obmedzená hĺbka priestorov, svetlá výška minimálne 2,75 m, flexibilita priestoru, žľaby pre telefónne prípojky, elektrinu a dátové káble alebo zdvojená podlaha, recepcia, krytý prístup autom, výťahy, vstup pre imobilných, záložné zdroje energie.</w:t>
      </w:r>
    </w:p>
    <w:p w:rsidR="00F12436" w:rsidRPr="005D218F" w:rsidRDefault="00F12436" w:rsidP="00F12436">
      <w:pPr>
        <w:pStyle w:val="Nadpis1"/>
        <w:spacing w:before="120" w:after="120"/>
        <w:jc w:val="both"/>
        <w:rPr>
          <w:rFonts w:cs="Arial"/>
          <w:b w:val="0"/>
          <w:i/>
          <w:kern w:val="0"/>
          <w:sz w:val="18"/>
          <w:szCs w:val="18"/>
          <w:lang w:val="sk-SK"/>
        </w:rPr>
      </w:pPr>
      <w:r w:rsidRPr="005D218F">
        <w:rPr>
          <w:rFonts w:cs="Arial"/>
          <w:i/>
          <w:kern w:val="0"/>
          <w:sz w:val="18"/>
          <w:szCs w:val="18"/>
          <w:lang w:val="sk-SK"/>
        </w:rPr>
        <w:t>Budovy v štandarde B</w:t>
      </w:r>
      <w:r w:rsidRPr="005D218F">
        <w:rPr>
          <w:rFonts w:cs="Arial"/>
          <w:b w:val="0"/>
          <w:i/>
          <w:kern w:val="0"/>
          <w:sz w:val="18"/>
          <w:szCs w:val="18"/>
          <w:lang w:val="sk-SK"/>
        </w:rPr>
        <w:t>: Zahŕňajú typickú nehnuteľnosť na trhu na základe vyššie spomenutých kritérií.</w:t>
      </w:r>
    </w:p>
    <w:p w:rsidR="00F12436" w:rsidRPr="005D218F" w:rsidRDefault="00F12436" w:rsidP="00F12436">
      <w:pPr>
        <w:jc w:val="both"/>
        <w:outlineLvl w:val="0"/>
        <w:rPr>
          <w:rFonts w:ascii="Arial" w:hAnsi="Arial" w:cs="Arial"/>
          <w:i/>
          <w:sz w:val="18"/>
          <w:szCs w:val="18"/>
          <w:lang w:val="sk-SK"/>
        </w:rPr>
      </w:pPr>
      <w:r w:rsidRPr="005D218F">
        <w:rPr>
          <w:rFonts w:ascii="Arial" w:hAnsi="Arial" w:cs="Arial"/>
          <w:b/>
          <w:i/>
          <w:sz w:val="18"/>
          <w:szCs w:val="18"/>
          <w:lang w:val="sk-SK"/>
        </w:rPr>
        <w:t>Transakcie na trhu kancelárskych priestorov (</w:t>
      </w:r>
      <w:proofErr w:type="spellStart"/>
      <w:r w:rsidRPr="005D218F">
        <w:rPr>
          <w:rFonts w:ascii="Arial" w:hAnsi="Arial" w:cs="Arial"/>
          <w:b/>
          <w:i/>
          <w:sz w:val="18"/>
          <w:szCs w:val="18"/>
          <w:lang w:val="sk-SK"/>
        </w:rPr>
        <w:t>Take-up</w:t>
      </w:r>
      <w:proofErr w:type="spellEnd"/>
      <w:r w:rsidRPr="005D218F">
        <w:rPr>
          <w:rFonts w:ascii="Arial" w:hAnsi="Arial" w:cs="Arial"/>
          <w:b/>
          <w:i/>
          <w:sz w:val="18"/>
          <w:szCs w:val="18"/>
          <w:lang w:val="sk-SK"/>
        </w:rPr>
        <w:t>)</w:t>
      </w:r>
      <w:r w:rsidRPr="005D218F">
        <w:rPr>
          <w:rFonts w:ascii="Arial" w:hAnsi="Arial" w:cs="Arial"/>
          <w:i/>
          <w:sz w:val="18"/>
          <w:szCs w:val="18"/>
          <w:lang w:val="sk-SK"/>
        </w:rPr>
        <w:t>: Hrubé čísla predstavujúce celkovú podlažnú plochu, ktorá bola prenajatá, predaná nájomcom počas určitého časového obdobia. Neobsahuje voľné priestory, ktoré sú v ponuke. Nehnuteľnosť sa považuje za prenajatú dňom podpisu nájomnej zmluvy alebo zmluvy o budúcej nájomnej zmluve. Súhrnné transakcie (</w:t>
      </w:r>
      <w:proofErr w:type="spellStart"/>
      <w:r w:rsidRPr="005D218F">
        <w:rPr>
          <w:rFonts w:ascii="Arial" w:hAnsi="Arial" w:cs="Arial"/>
          <w:i/>
          <w:sz w:val="18"/>
          <w:szCs w:val="18"/>
          <w:lang w:val="sk-SK"/>
        </w:rPr>
        <w:t>Total</w:t>
      </w:r>
      <w:proofErr w:type="spellEnd"/>
      <w:r w:rsidRPr="005D218F">
        <w:rPr>
          <w:rFonts w:ascii="Arial" w:hAnsi="Arial" w:cs="Arial"/>
          <w:i/>
          <w:sz w:val="18"/>
          <w:szCs w:val="18"/>
          <w:lang w:val="sk-SK"/>
        </w:rPr>
        <w:t xml:space="preserve"> </w:t>
      </w:r>
      <w:proofErr w:type="spellStart"/>
      <w:r w:rsidRPr="005D218F">
        <w:rPr>
          <w:rFonts w:ascii="Arial" w:hAnsi="Arial" w:cs="Arial"/>
          <w:i/>
          <w:sz w:val="18"/>
          <w:szCs w:val="18"/>
          <w:lang w:val="sk-SK"/>
        </w:rPr>
        <w:t>take-up</w:t>
      </w:r>
      <w:proofErr w:type="spellEnd"/>
      <w:r w:rsidRPr="005D218F">
        <w:rPr>
          <w:rFonts w:ascii="Arial" w:hAnsi="Arial" w:cs="Arial"/>
          <w:i/>
          <w:sz w:val="18"/>
          <w:szCs w:val="18"/>
          <w:lang w:val="sk-SK"/>
        </w:rPr>
        <w:t xml:space="preserve">) zahŕňa aj obnovenia nájomných zmlúv, čisté transakcie (net </w:t>
      </w:r>
      <w:proofErr w:type="spellStart"/>
      <w:r w:rsidRPr="005D218F">
        <w:rPr>
          <w:rFonts w:ascii="Arial" w:hAnsi="Arial" w:cs="Arial"/>
          <w:i/>
          <w:sz w:val="18"/>
          <w:szCs w:val="18"/>
          <w:lang w:val="sk-SK"/>
        </w:rPr>
        <w:t>take-up</w:t>
      </w:r>
      <w:proofErr w:type="spellEnd"/>
      <w:r w:rsidRPr="005D218F">
        <w:rPr>
          <w:rFonts w:ascii="Arial" w:hAnsi="Arial" w:cs="Arial"/>
          <w:i/>
          <w:sz w:val="18"/>
          <w:szCs w:val="18"/>
          <w:lang w:val="sk-SK"/>
        </w:rPr>
        <w:t>)neobsahujú obnovenia nájomných zmlúv.</w:t>
      </w:r>
    </w:p>
    <w:p w:rsidR="00F12436" w:rsidRPr="005D218F" w:rsidRDefault="00F12436" w:rsidP="00F12436">
      <w:pPr>
        <w:spacing w:before="120"/>
        <w:jc w:val="both"/>
        <w:outlineLvl w:val="0"/>
        <w:rPr>
          <w:rFonts w:ascii="Arial" w:hAnsi="Arial" w:cs="Arial"/>
          <w:i/>
          <w:noProof/>
          <w:sz w:val="18"/>
          <w:szCs w:val="18"/>
          <w:lang w:val="sk-SK"/>
        </w:rPr>
      </w:pPr>
      <w:r w:rsidRPr="005D218F">
        <w:rPr>
          <w:rFonts w:ascii="Arial" w:hAnsi="Arial" w:cs="Arial"/>
          <w:b/>
          <w:i/>
          <w:noProof/>
          <w:sz w:val="18"/>
          <w:szCs w:val="18"/>
          <w:lang w:val="sk-SK"/>
        </w:rPr>
        <w:t>Pre-lease</w:t>
      </w:r>
      <w:r w:rsidRPr="005D218F">
        <w:rPr>
          <w:rFonts w:ascii="Arial" w:hAnsi="Arial" w:cs="Arial"/>
          <w:i/>
          <w:noProof/>
          <w:sz w:val="18"/>
          <w:szCs w:val="18"/>
          <w:lang w:val="sk-SK"/>
        </w:rPr>
        <w:t xml:space="preserve">: </w:t>
      </w:r>
      <w:r w:rsidRPr="005D218F">
        <w:rPr>
          <w:rFonts w:ascii="Arial" w:hAnsi="Arial" w:cs="Arial"/>
          <w:i/>
          <w:color w:val="000000"/>
          <w:sz w:val="18"/>
          <w:szCs w:val="18"/>
          <w:lang w:val="sk-SK" w:eastAsia="cs-CZ"/>
        </w:rPr>
        <w:t>Aktívny pre-leasing pre kancelársku budovu označuje fázu, počas ktorej je budúcemu nájomcovi ponúknuté konkrétne rozloženie priestorov, pričom budova musí byť vo výstavbe.</w:t>
      </w:r>
    </w:p>
    <w:p w:rsidR="00F12436" w:rsidRPr="005D218F" w:rsidRDefault="00F12436" w:rsidP="00F12436">
      <w:pPr>
        <w:spacing w:before="120" w:after="120"/>
        <w:jc w:val="both"/>
        <w:outlineLvl w:val="0"/>
        <w:rPr>
          <w:rFonts w:ascii="Arial" w:hAnsi="Arial" w:cs="Arial"/>
          <w:i/>
          <w:noProof/>
          <w:sz w:val="18"/>
          <w:szCs w:val="18"/>
          <w:lang w:val="sk-SK"/>
        </w:rPr>
      </w:pPr>
      <w:r w:rsidRPr="005D218F">
        <w:rPr>
          <w:rFonts w:ascii="Arial" w:hAnsi="Arial" w:cs="Arial"/>
          <w:b/>
          <w:i/>
          <w:noProof/>
          <w:sz w:val="18"/>
          <w:szCs w:val="18"/>
          <w:lang w:val="sk-SK"/>
        </w:rPr>
        <w:t>Miera neobsadenosti kancelárskych priestorov (Vacancy rate)</w:t>
      </w:r>
      <w:r w:rsidRPr="005D218F">
        <w:rPr>
          <w:rFonts w:ascii="Arial" w:hAnsi="Arial" w:cs="Arial"/>
          <w:i/>
          <w:noProof/>
          <w:sz w:val="18"/>
          <w:szCs w:val="18"/>
          <w:lang w:val="sk-SK"/>
        </w:rPr>
        <w:t>: Percentuálne vyjadrenie voľných prenajímateľných kancelárskych priestorov v pomere k celkovej ponuke kancelárskych priestorov.</w:t>
      </w:r>
    </w:p>
    <w:p w:rsidR="00F12436" w:rsidRPr="005D218F" w:rsidRDefault="00F12436" w:rsidP="00F12436">
      <w:pPr>
        <w:jc w:val="both"/>
        <w:rPr>
          <w:rFonts w:ascii="Arial" w:hAnsi="Arial" w:cs="Arial"/>
          <w:i/>
          <w:sz w:val="18"/>
          <w:szCs w:val="18"/>
          <w:lang w:val="sk-SK"/>
        </w:rPr>
      </w:pPr>
      <w:r w:rsidRPr="005D218F">
        <w:rPr>
          <w:rFonts w:ascii="Arial" w:hAnsi="Arial" w:cs="Arial"/>
          <w:b/>
          <w:i/>
          <w:sz w:val="18"/>
          <w:szCs w:val="18"/>
          <w:lang w:val="sk-SK"/>
        </w:rPr>
        <w:t>Prime rent</w:t>
      </w:r>
      <w:r w:rsidRPr="005D218F">
        <w:rPr>
          <w:rFonts w:ascii="Arial" w:hAnsi="Arial" w:cs="Arial"/>
          <w:i/>
          <w:sz w:val="18"/>
          <w:szCs w:val="18"/>
          <w:lang w:val="sk-SK"/>
        </w:rPr>
        <w:t xml:space="preserve">: Najvyššie dosiahnuté nájomné, ktoré sa vzťahuje na nové kancelárske jednotky s najvyšším štandardom v najlepších lokalitách </w:t>
      </w:r>
    </w:p>
    <w:p w:rsidR="001A4A53" w:rsidRPr="005D218F" w:rsidRDefault="001A4A53" w:rsidP="007733FB">
      <w:pPr>
        <w:rPr>
          <w:rFonts w:ascii="Arial" w:hAnsi="Arial" w:cs="Arial"/>
          <w:bCs/>
          <w:sz w:val="18"/>
          <w:szCs w:val="18"/>
          <w:lang w:val="sk-SK"/>
        </w:rPr>
      </w:pPr>
    </w:p>
    <w:p w:rsidR="00C14A0F" w:rsidRPr="005D218F" w:rsidRDefault="00C14A0F" w:rsidP="007733FB">
      <w:pPr>
        <w:rPr>
          <w:rFonts w:ascii="Arial" w:hAnsi="Arial" w:cs="Arial"/>
          <w:bCs/>
          <w:sz w:val="18"/>
          <w:szCs w:val="18"/>
          <w:lang w:val="sk-SK"/>
        </w:rPr>
      </w:pPr>
    </w:p>
    <w:p w:rsidR="00F520DB" w:rsidRPr="005D218F" w:rsidRDefault="00793BCA" w:rsidP="009E4E3F">
      <w:pPr>
        <w:jc w:val="center"/>
        <w:outlineLvl w:val="0"/>
        <w:rPr>
          <w:rFonts w:ascii="Garamond" w:hAnsi="Garamond"/>
          <w:sz w:val="24"/>
          <w:lang w:val="sk-SK"/>
        </w:rPr>
      </w:pPr>
      <w:r w:rsidRPr="005D218F">
        <w:rPr>
          <w:rFonts w:ascii="Arial" w:hAnsi="Arial" w:cs="Arial"/>
          <w:b/>
          <w:lang w:val="sk-SK"/>
        </w:rPr>
        <w:t xml:space="preserve">Pre viac informácií, prosím kontaktujte ktoréhokoľvek člena </w:t>
      </w:r>
      <w:r w:rsidR="005D666E" w:rsidRPr="005D218F">
        <w:rPr>
          <w:rFonts w:ascii="Arial" w:hAnsi="Arial" w:cs="Arial"/>
          <w:b/>
          <w:bCs/>
          <w:color w:val="000000"/>
          <w:sz w:val="18"/>
          <w:szCs w:val="18"/>
          <w:lang w:val="sk-SK"/>
        </w:rPr>
        <w:t>Bratislava</w:t>
      </w:r>
      <w:r w:rsidR="00710C2A" w:rsidRPr="005D218F">
        <w:rPr>
          <w:rFonts w:ascii="Arial" w:hAnsi="Arial" w:cs="Arial"/>
          <w:b/>
          <w:bCs/>
          <w:color w:val="000000"/>
          <w:sz w:val="18"/>
          <w:szCs w:val="18"/>
          <w:lang w:val="sk-SK"/>
        </w:rPr>
        <w:t xml:space="preserve"> </w:t>
      </w:r>
      <w:proofErr w:type="spellStart"/>
      <w:r w:rsidR="00710C2A" w:rsidRPr="005D218F">
        <w:rPr>
          <w:rFonts w:ascii="Arial" w:hAnsi="Arial" w:cs="Arial"/>
          <w:b/>
          <w:bCs/>
          <w:color w:val="000000"/>
          <w:sz w:val="18"/>
          <w:szCs w:val="18"/>
          <w:lang w:val="sk-SK"/>
        </w:rPr>
        <w:t>Research</w:t>
      </w:r>
      <w:proofErr w:type="spellEnd"/>
      <w:r w:rsidR="00710C2A" w:rsidRPr="005D218F">
        <w:rPr>
          <w:rFonts w:ascii="Arial" w:hAnsi="Arial" w:cs="Arial"/>
          <w:b/>
          <w:bCs/>
          <w:color w:val="000000"/>
          <w:sz w:val="18"/>
          <w:szCs w:val="18"/>
          <w:lang w:val="sk-SK"/>
        </w:rPr>
        <w:t xml:space="preserve"> </w:t>
      </w:r>
      <w:proofErr w:type="spellStart"/>
      <w:r w:rsidR="00710C2A" w:rsidRPr="005D218F">
        <w:rPr>
          <w:rFonts w:ascii="Arial" w:hAnsi="Arial" w:cs="Arial"/>
          <w:b/>
          <w:bCs/>
          <w:color w:val="000000"/>
          <w:sz w:val="18"/>
          <w:szCs w:val="18"/>
          <w:lang w:val="sk-SK"/>
        </w:rPr>
        <w:t>Forum</w:t>
      </w:r>
      <w:proofErr w:type="spellEnd"/>
      <w:r w:rsidR="00710C2A" w:rsidRPr="005D218F">
        <w:rPr>
          <w:rFonts w:ascii="Arial" w:hAnsi="Arial" w:cs="Arial"/>
          <w:b/>
          <w:bCs/>
          <w:color w:val="000000"/>
          <w:sz w:val="18"/>
          <w:szCs w:val="18"/>
          <w:lang w:val="sk-SK"/>
        </w:rPr>
        <w:t>.</w:t>
      </w:r>
      <w:r w:rsidR="00145B44" w:rsidRPr="005D218F">
        <w:rPr>
          <w:rFonts w:ascii="Garamond" w:hAnsi="Garamond"/>
          <w:sz w:val="24"/>
          <w:lang w:val="sk-SK"/>
        </w:rPr>
        <w:tab/>
      </w:r>
      <w:r w:rsidR="00145B44" w:rsidRPr="005D218F">
        <w:rPr>
          <w:rFonts w:ascii="Garamond" w:hAnsi="Garamond"/>
          <w:sz w:val="24"/>
          <w:lang w:val="sk-SK"/>
        </w:rPr>
        <w:tab/>
      </w:r>
      <w:r w:rsidR="00145B44" w:rsidRPr="005D218F">
        <w:rPr>
          <w:rFonts w:ascii="Garamond" w:hAnsi="Garamond"/>
          <w:sz w:val="24"/>
          <w:lang w:val="sk-SK"/>
        </w:rPr>
        <w:tab/>
      </w:r>
    </w:p>
    <w:p w:rsidR="00CB446C" w:rsidRDefault="000F7280" w:rsidP="00CB446C">
      <w:pPr>
        <w:jc w:val="both"/>
        <w:rPr>
          <w:rFonts w:ascii="Garamond" w:hAnsi="Garamond"/>
          <w:sz w:val="24"/>
          <w:lang w:val="sk-SK"/>
        </w:rPr>
      </w:pPr>
      <w:r w:rsidRPr="000F7280">
        <w:rPr>
          <w:rFonts w:ascii="Garamond" w:hAnsi="Garamond"/>
          <w:noProof/>
          <w:sz w:val="24"/>
          <w:lang w:val="sk-SK"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3641090</wp:posOffset>
            </wp:positionH>
            <wp:positionV relativeFrom="paragraph">
              <wp:posOffset>114300</wp:posOffset>
            </wp:positionV>
            <wp:extent cx="1123950" cy="542925"/>
            <wp:effectExtent l="0" t="0" r="0" b="9525"/>
            <wp:wrapThrough wrapText="bothSides">
              <wp:wrapPolygon edited="0">
                <wp:start x="0" y="0"/>
                <wp:lineTo x="0" y="21221"/>
                <wp:lineTo x="21234" y="21221"/>
                <wp:lineTo x="21234" y="0"/>
                <wp:lineTo x="0" y="0"/>
              </wp:wrapPolygon>
            </wp:wrapThrough>
            <wp:docPr id="8" name="Picture 8" descr="2011_CBRE_Logo_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1_CBRE_Logo_Gre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80">
        <w:rPr>
          <w:rFonts w:ascii="Garamond" w:hAnsi="Garamond"/>
          <w:noProof/>
          <w:sz w:val="24"/>
          <w:lang w:val="sk-SK"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153670</wp:posOffset>
            </wp:positionV>
            <wp:extent cx="1079500" cy="479425"/>
            <wp:effectExtent l="0" t="0" r="6350" b="0"/>
            <wp:wrapThrough wrapText="bothSides">
              <wp:wrapPolygon edited="0">
                <wp:start x="0" y="0"/>
                <wp:lineTo x="0" y="20599"/>
                <wp:lineTo x="21346" y="20599"/>
                <wp:lineTo x="21346" y="0"/>
                <wp:lineTo x="0" y="0"/>
              </wp:wrapPolygon>
            </wp:wrapThrough>
            <wp:docPr id="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7280">
        <w:rPr>
          <w:rFonts w:ascii="Garamond" w:hAnsi="Garamond"/>
          <w:noProof/>
          <w:sz w:val="24"/>
          <w:lang w:val="sk-SK"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5168265</wp:posOffset>
            </wp:positionH>
            <wp:positionV relativeFrom="paragraph">
              <wp:posOffset>114300</wp:posOffset>
            </wp:positionV>
            <wp:extent cx="771525" cy="514350"/>
            <wp:effectExtent l="0" t="0" r="9525" b="0"/>
            <wp:wrapThrough wrapText="bothSides">
              <wp:wrapPolygon edited="0">
                <wp:start x="0" y="0"/>
                <wp:lineTo x="0" y="20800"/>
                <wp:lineTo x="21333" y="20800"/>
                <wp:lineTo x="21333" y="0"/>
                <wp:lineTo x="0" y="0"/>
              </wp:wrapPolygon>
            </wp:wrapThrough>
            <wp:docPr id="7" name="Picture 7" descr="collier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liers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80">
        <w:rPr>
          <w:rFonts w:ascii="Garamond" w:hAnsi="Garamond"/>
          <w:noProof/>
          <w:sz w:val="24"/>
          <w:lang w:val="sk-SK" w:eastAsia="sk-S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209550</wp:posOffset>
            </wp:positionV>
            <wp:extent cx="1621790" cy="337820"/>
            <wp:effectExtent l="0" t="0" r="0" b="5080"/>
            <wp:wrapThrough wrapText="bothSides">
              <wp:wrapPolygon edited="0">
                <wp:start x="2537" y="0"/>
                <wp:lineTo x="0" y="8526"/>
                <wp:lineTo x="0" y="20707"/>
                <wp:lineTo x="21312" y="20707"/>
                <wp:lineTo x="21312" y="2436"/>
                <wp:lineTo x="3806" y="0"/>
                <wp:lineTo x="2537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33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2BBE" w:rsidRDefault="00062BBE" w:rsidP="00CB446C">
      <w:pPr>
        <w:jc w:val="both"/>
        <w:rPr>
          <w:rFonts w:ascii="Garamond" w:hAnsi="Garamond"/>
          <w:sz w:val="24"/>
          <w:lang w:val="sk-SK"/>
        </w:rPr>
      </w:pPr>
    </w:p>
    <w:p w:rsidR="00710C2A" w:rsidRPr="005D218F" w:rsidRDefault="00710C2A" w:rsidP="00864EA6">
      <w:pPr>
        <w:outlineLvl w:val="0"/>
        <w:rPr>
          <w:rFonts w:ascii="Arial" w:hAnsi="Arial" w:cs="Arial"/>
          <w:b/>
          <w:bCs/>
          <w:color w:val="000000"/>
          <w:sz w:val="18"/>
          <w:szCs w:val="18"/>
          <w:lang w:val="sk-SK"/>
        </w:rPr>
      </w:pPr>
    </w:p>
    <w:p w:rsidR="00F37956" w:rsidRPr="00F37956" w:rsidRDefault="00F37956" w:rsidP="00F37956">
      <w:pPr>
        <w:rPr>
          <w:rFonts w:ascii="Arial" w:hAnsi="Arial" w:cs="Arial"/>
          <w:sz w:val="18"/>
          <w:szCs w:val="18"/>
          <w:lang w:val="sk-SK"/>
        </w:rPr>
      </w:pPr>
    </w:p>
    <w:sectPr w:rsidR="00F37956" w:rsidRPr="00F37956" w:rsidSect="00117638">
      <w:pgSz w:w="11906" w:h="16838" w:code="9"/>
      <w:pgMar w:top="719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75B" w:rsidRDefault="0076175B" w:rsidP="00690695">
      <w:r>
        <w:separator/>
      </w:r>
    </w:p>
  </w:endnote>
  <w:endnote w:type="continuationSeparator" w:id="0">
    <w:p w:rsidR="0076175B" w:rsidRDefault="0076175B" w:rsidP="0069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75B" w:rsidRDefault="0076175B" w:rsidP="00690695">
      <w:r>
        <w:separator/>
      </w:r>
    </w:p>
  </w:footnote>
  <w:footnote w:type="continuationSeparator" w:id="0">
    <w:p w:rsidR="0076175B" w:rsidRDefault="0076175B" w:rsidP="00690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76BB1"/>
    <w:multiLevelType w:val="hybridMultilevel"/>
    <w:tmpl w:val="DD20A8C0"/>
    <w:lvl w:ilvl="0" w:tplc="A24EF634"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69BE790F"/>
    <w:multiLevelType w:val="hybridMultilevel"/>
    <w:tmpl w:val="06B22470"/>
    <w:lvl w:ilvl="0" w:tplc="83A488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A8"/>
    <w:rsid w:val="00002752"/>
    <w:rsid w:val="00006E17"/>
    <w:rsid w:val="00006E5B"/>
    <w:rsid w:val="0001272D"/>
    <w:rsid w:val="00013C1B"/>
    <w:rsid w:val="00015242"/>
    <w:rsid w:val="00015574"/>
    <w:rsid w:val="00022860"/>
    <w:rsid w:val="000237A1"/>
    <w:rsid w:val="00025B75"/>
    <w:rsid w:val="00034978"/>
    <w:rsid w:val="00036EA0"/>
    <w:rsid w:val="00044E1F"/>
    <w:rsid w:val="00045731"/>
    <w:rsid w:val="00050D85"/>
    <w:rsid w:val="00052990"/>
    <w:rsid w:val="00057489"/>
    <w:rsid w:val="0006226E"/>
    <w:rsid w:val="00062BBE"/>
    <w:rsid w:val="0006684F"/>
    <w:rsid w:val="00067AA5"/>
    <w:rsid w:val="000709A9"/>
    <w:rsid w:val="00071548"/>
    <w:rsid w:val="00072AFA"/>
    <w:rsid w:val="000759C9"/>
    <w:rsid w:val="000802DE"/>
    <w:rsid w:val="000813DC"/>
    <w:rsid w:val="00084F59"/>
    <w:rsid w:val="000870CC"/>
    <w:rsid w:val="000902C2"/>
    <w:rsid w:val="000919F1"/>
    <w:rsid w:val="000940C0"/>
    <w:rsid w:val="000963F4"/>
    <w:rsid w:val="00096504"/>
    <w:rsid w:val="000A23D9"/>
    <w:rsid w:val="000A3769"/>
    <w:rsid w:val="000A613F"/>
    <w:rsid w:val="000B45ED"/>
    <w:rsid w:val="000C2FC8"/>
    <w:rsid w:val="000E3576"/>
    <w:rsid w:val="000F1700"/>
    <w:rsid w:val="000F37DC"/>
    <w:rsid w:val="000F7280"/>
    <w:rsid w:val="000F7D45"/>
    <w:rsid w:val="00100FF0"/>
    <w:rsid w:val="00103B32"/>
    <w:rsid w:val="0010799D"/>
    <w:rsid w:val="001148D3"/>
    <w:rsid w:val="00117638"/>
    <w:rsid w:val="00121D27"/>
    <w:rsid w:val="00124A7E"/>
    <w:rsid w:val="00130A9B"/>
    <w:rsid w:val="00132B02"/>
    <w:rsid w:val="001368E2"/>
    <w:rsid w:val="00136EFA"/>
    <w:rsid w:val="00143A8E"/>
    <w:rsid w:val="00145B44"/>
    <w:rsid w:val="00150F93"/>
    <w:rsid w:val="001539E6"/>
    <w:rsid w:val="00160F2A"/>
    <w:rsid w:val="00160FAA"/>
    <w:rsid w:val="00163524"/>
    <w:rsid w:val="00164A6A"/>
    <w:rsid w:val="00164EBA"/>
    <w:rsid w:val="00170BD7"/>
    <w:rsid w:val="00176959"/>
    <w:rsid w:val="00180A66"/>
    <w:rsid w:val="001864D7"/>
    <w:rsid w:val="0019112B"/>
    <w:rsid w:val="00192DDF"/>
    <w:rsid w:val="001A4A53"/>
    <w:rsid w:val="001A52D9"/>
    <w:rsid w:val="001A5D69"/>
    <w:rsid w:val="001A77B7"/>
    <w:rsid w:val="001B4576"/>
    <w:rsid w:val="001B5EE1"/>
    <w:rsid w:val="001C0363"/>
    <w:rsid w:val="001C3017"/>
    <w:rsid w:val="001C3271"/>
    <w:rsid w:val="001C3F62"/>
    <w:rsid w:val="001E1133"/>
    <w:rsid w:val="001E3F8B"/>
    <w:rsid w:val="001F19F2"/>
    <w:rsid w:val="001F1E24"/>
    <w:rsid w:val="001F1EF6"/>
    <w:rsid w:val="001F2C85"/>
    <w:rsid w:val="001F465E"/>
    <w:rsid w:val="00200133"/>
    <w:rsid w:val="002072DC"/>
    <w:rsid w:val="00210E53"/>
    <w:rsid w:val="00214AF3"/>
    <w:rsid w:val="00217518"/>
    <w:rsid w:val="00220615"/>
    <w:rsid w:val="0022736C"/>
    <w:rsid w:val="002408E6"/>
    <w:rsid w:val="002544A6"/>
    <w:rsid w:val="002645AC"/>
    <w:rsid w:val="002657F5"/>
    <w:rsid w:val="0027232A"/>
    <w:rsid w:val="00273EBA"/>
    <w:rsid w:val="0027577D"/>
    <w:rsid w:val="002770AE"/>
    <w:rsid w:val="002777C8"/>
    <w:rsid w:val="00282392"/>
    <w:rsid w:val="00283B90"/>
    <w:rsid w:val="0028684C"/>
    <w:rsid w:val="00290A76"/>
    <w:rsid w:val="0029228E"/>
    <w:rsid w:val="00292428"/>
    <w:rsid w:val="002A1C5F"/>
    <w:rsid w:val="002A2D11"/>
    <w:rsid w:val="002A350B"/>
    <w:rsid w:val="002A39F0"/>
    <w:rsid w:val="002A4C88"/>
    <w:rsid w:val="002A65B6"/>
    <w:rsid w:val="002A79DB"/>
    <w:rsid w:val="002B1B76"/>
    <w:rsid w:val="002B28FB"/>
    <w:rsid w:val="002B2D8D"/>
    <w:rsid w:val="002B48C5"/>
    <w:rsid w:val="002C6658"/>
    <w:rsid w:val="002C6983"/>
    <w:rsid w:val="002D04D7"/>
    <w:rsid w:val="002D0D86"/>
    <w:rsid w:val="002D17F8"/>
    <w:rsid w:val="002D3789"/>
    <w:rsid w:val="002D608D"/>
    <w:rsid w:val="002D7156"/>
    <w:rsid w:val="002E2D26"/>
    <w:rsid w:val="002F0243"/>
    <w:rsid w:val="002F383C"/>
    <w:rsid w:val="003059E1"/>
    <w:rsid w:val="0031162E"/>
    <w:rsid w:val="0031565B"/>
    <w:rsid w:val="00317136"/>
    <w:rsid w:val="0031757D"/>
    <w:rsid w:val="0032079A"/>
    <w:rsid w:val="00330118"/>
    <w:rsid w:val="00334ACE"/>
    <w:rsid w:val="0033599D"/>
    <w:rsid w:val="003374AB"/>
    <w:rsid w:val="003446CD"/>
    <w:rsid w:val="00346BAF"/>
    <w:rsid w:val="00347F4C"/>
    <w:rsid w:val="00351DC4"/>
    <w:rsid w:val="00351E5A"/>
    <w:rsid w:val="00352E13"/>
    <w:rsid w:val="0037662E"/>
    <w:rsid w:val="00383177"/>
    <w:rsid w:val="00384E56"/>
    <w:rsid w:val="003908F2"/>
    <w:rsid w:val="003A1BD0"/>
    <w:rsid w:val="003A7575"/>
    <w:rsid w:val="003B4A0B"/>
    <w:rsid w:val="003C1DF4"/>
    <w:rsid w:val="003C3EA9"/>
    <w:rsid w:val="003C3FEE"/>
    <w:rsid w:val="003C565E"/>
    <w:rsid w:val="003C7155"/>
    <w:rsid w:val="003D4F5A"/>
    <w:rsid w:val="003D52FE"/>
    <w:rsid w:val="003D5808"/>
    <w:rsid w:val="003E1D7F"/>
    <w:rsid w:val="003E603F"/>
    <w:rsid w:val="003F24FC"/>
    <w:rsid w:val="00401A78"/>
    <w:rsid w:val="00402668"/>
    <w:rsid w:val="00404673"/>
    <w:rsid w:val="00407FBC"/>
    <w:rsid w:val="0041056A"/>
    <w:rsid w:val="0041486D"/>
    <w:rsid w:val="00414BB7"/>
    <w:rsid w:val="00414C8F"/>
    <w:rsid w:val="00416C16"/>
    <w:rsid w:val="004172F2"/>
    <w:rsid w:val="00417EA5"/>
    <w:rsid w:val="00421911"/>
    <w:rsid w:val="004230A5"/>
    <w:rsid w:val="0042729F"/>
    <w:rsid w:val="00435E55"/>
    <w:rsid w:val="00436B7E"/>
    <w:rsid w:val="004540D0"/>
    <w:rsid w:val="004638F7"/>
    <w:rsid w:val="00463E3A"/>
    <w:rsid w:val="0048021A"/>
    <w:rsid w:val="00482D0E"/>
    <w:rsid w:val="00482E8F"/>
    <w:rsid w:val="00485647"/>
    <w:rsid w:val="004864EF"/>
    <w:rsid w:val="0049338B"/>
    <w:rsid w:val="0049411B"/>
    <w:rsid w:val="00494D41"/>
    <w:rsid w:val="004C3A5C"/>
    <w:rsid w:val="004C532B"/>
    <w:rsid w:val="004D0FF6"/>
    <w:rsid w:val="004E6D5E"/>
    <w:rsid w:val="004E7ABF"/>
    <w:rsid w:val="004F1BE6"/>
    <w:rsid w:val="004F3C05"/>
    <w:rsid w:val="00505CBB"/>
    <w:rsid w:val="00506CBE"/>
    <w:rsid w:val="005103A5"/>
    <w:rsid w:val="00513284"/>
    <w:rsid w:val="00516966"/>
    <w:rsid w:val="00517676"/>
    <w:rsid w:val="00517F5D"/>
    <w:rsid w:val="00530937"/>
    <w:rsid w:val="00533DF1"/>
    <w:rsid w:val="00535AE6"/>
    <w:rsid w:val="00536AD5"/>
    <w:rsid w:val="00542390"/>
    <w:rsid w:val="00542920"/>
    <w:rsid w:val="00543BB1"/>
    <w:rsid w:val="00546D82"/>
    <w:rsid w:val="00547CC1"/>
    <w:rsid w:val="00547EC9"/>
    <w:rsid w:val="00550256"/>
    <w:rsid w:val="00553000"/>
    <w:rsid w:val="00557758"/>
    <w:rsid w:val="00560711"/>
    <w:rsid w:val="005611E9"/>
    <w:rsid w:val="00563540"/>
    <w:rsid w:val="00574CAA"/>
    <w:rsid w:val="00574D2F"/>
    <w:rsid w:val="00580488"/>
    <w:rsid w:val="005879F9"/>
    <w:rsid w:val="00587B80"/>
    <w:rsid w:val="00594670"/>
    <w:rsid w:val="0059765D"/>
    <w:rsid w:val="005978B1"/>
    <w:rsid w:val="005A4CD0"/>
    <w:rsid w:val="005A5903"/>
    <w:rsid w:val="005A5DA8"/>
    <w:rsid w:val="005B3352"/>
    <w:rsid w:val="005B6B37"/>
    <w:rsid w:val="005C0A6C"/>
    <w:rsid w:val="005C7931"/>
    <w:rsid w:val="005D218F"/>
    <w:rsid w:val="005D48BA"/>
    <w:rsid w:val="005D666E"/>
    <w:rsid w:val="005E2868"/>
    <w:rsid w:val="005E7279"/>
    <w:rsid w:val="005E79F0"/>
    <w:rsid w:val="005F1390"/>
    <w:rsid w:val="005F6FF9"/>
    <w:rsid w:val="00603504"/>
    <w:rsid w:val="0060426E"/>
    <w:rsid w:val="006043F7"/>
    <w:rsid w:val="00605C75"/>
    <w:rsid w:val="00615C4B"/>
    <w:rsid w:val="006211BF"/>
    <w:rsid w:val="00621F8D"/>
    <w:rsid w:val="0062363C"/>
    <w:rsid w:val="00623899"/>
    <w:rsid w:val="00636482"/>
    <w:rsid w:val="006427D1"/>
    <w:rsid w:val="006442BE"/>
    <w:rsid w:val="00651476"/>
    <w:rsid w:val="00654949"/>
    <w:rsid w:val="00655098"/>
    <w:rsid w:val="006557E4"/>
    <w:rsid w:val="0065627E"/>
    <w:rsid w:val="00656B9E"/>
    <w:rsid w:val="00657EF6"/>
    <w:rsid w:val="00661955"/>
    <w:rsid w:val="00664832"/>
    <w:rsid w:val="006669CB"/>
    <w:rsid w:val="00682BC6"/>
    <w:rsid w:val="00685A9D"/>
    <w:rsid w:val="00686864"/>
    <w:rsid w:val="00690695"/>
    <w:rsid w:val="00694468"/>
    <w:rsid w:val="006A44AA"/>
    <w:rsid w:val="006A7FDC"/>
    <w:rsid w:val="006B2A40"/>
    <w:rsid w:val="006B33B8"/>
    <w:rsid w:val="006B5859"/>
    <w:rsid w:val="006D48B3"/>
    <w:rsid w:val="006D53FC"/>
    <w:rsid w:val="006D5515"/>
    <w:rsid w:val="006E4BAD"/>
    <w:rsid w:val="006E52CE"/>
    <w:rsid w:val="006F2AE1"/>
    <w:rsid w:val="006F682C"/>
    <w:rsid w:val="006F6F57"/>
    <w:rsid w:val="006F75E1"/>
    <w:rsid w:val="00710C2A"/>
    <w:rsid w:val="0071345B"/>
    <w:rsid w:val="00714A11"/>
    <w:rsid w:val="0071577C"/>
    <w:rsid w:val="007163C8"/>
    <w:rsid w:val="00721598"/>
    <w:rsid w:val="00724E07"/>
    <w:rsid w:val="00727123"/>
    <w:rsid w:val="00735EDC"/>
    <w:rsid w:val="00736401"/>
    <w:rsid w:val="007374FD"/>
    <w:rsid w:val="00746935"/>
    <w:rsid w:val="00750C24"/>
    <w:rsid w:val="00753CAE"/>
    <w:rsid w:val="0076065C"/>
    <w:rsid w:val="0076175B"/>
    <w:rsid w:val="00765FE3"/>
    <w:rsid w:val="00766BB7"/>
    <w:rsid w:val="007676FE"/>
    <w:rsid w:val="00772210"/>
    <w:rsid w:val="007733FB"/>
    <w:rsid w:val="007759F6"/>
    <w:rsid w:val="00776A7B"/>
    <w:rsid w:val="00776FDD"/>
    <w:rsid w:val="00777C98"/>
    <w:rsid w:val="00780F13"/>
    <w:rsid w:val="007843B0"/>
    <w:rsid w:val="00786266"/>
    <w:rsid w:val="0079035F"/>
    <w:rsid w:val="00790D61"/>
    <w:rsid w:val="0079241C"/>
    <w:rsid w:val="00793BCA"/>
    <w:rsid w:val="0079721B"/>
    <w:rsid w:val="007A089E"/>
    <w:rsid w:val="007A26B2"/>
    <w:rsid w:val="007A721A"/>
    <w:rsid w:val="007B4A88"/>
    <w:rsid w:val="007B65BE"/>
    <w:rsid w:val="007B739F"/>
    <w:rsid w:val="007C0953"/>
    <w:rsid w:val="007C31CA"/>
    <w:rsid w:val="007C3D22"/>
    <w:rsid w:val="007E020E"/>
    <w:rsid w:val="007E1301"/>
    <w:rsid w:val="007E795C"/>
    <w:rsid w:val="007F02E1"/>
    <w:rsid w:val="007F2474"/>
    <w:rsid w:val="007F77A5"/>
    <w:rsid w:val="00802541"/>
    <w:rsid w:val="00803DAF"/>
    <w:rsid w:val="00805960"/>
    <w:rsid w:val="008125AC"/>
    <w:rsid w:val="00814105"/>
    <w:rsid w:val="00814E4B"/>
    <w:rsid w:val="00821C2F"/>
    <w:rsid w:val="008221A0"/>
    <w:rsid w:val="008226F3"/>
    <w:rsid w:val="00826A0F"/>
    <w:rsid w:val="00831AF5"/>
    <w:rsid w:val="00831C60"/>
    <w:rsid w:val="00833936"/>
    <w:rsid w:val="00833C95"/>
    <w:rsid w:val="008422DA"/>
    <w:rsid w:val="0084398B"/>
    <w:rsid w:val="00844C78"/>
    <w:rsid w:val="00852F55"/>
    <w:rsid w:val="00856467"/>
    <w:rsid w:val="0085693A"/>
    <w:rsid w:val="008634B1"/>
    <w:rsid w:val="008638F0"/>
    <w:rsid w:val="00864EA6"/>
    <w:rsid w:val="008650FD"/>
    <w:rsid w:val="00876B19"/>
    <w:rsid w:val="00882F94"/>
    <w:rsid w:val="00884CD0"/>
    <w:rsid w:val="00886A5A"/>
    <w:rsid w:val="00892DCE"/>
    <w:rsid w:val="00895A08"/>
    <w:rsid w:val="00895AFB"/>
    <w:rsid w:val="008B25C2"/>
    <w:rsid w:val="008B5061"/>
    <w:rsid w:val="008C3C4D"/>
    <w:rsid w:val="008D3D33"/>
    <w:rsid w:val="008E1270"/>
    <w:rsid w:val="008E2918"/>
    <w:rsid w:val="008E308C"/>
    <w:rsid w:val="008E37C0"/>
    <w:rsid w:val="008E4AD9"/>
    <w:rsid w:val="008E729B"/>
    <w:rsid w:val="008F257B"/>
    <w:rsid w:val="008F71BD"/>
    <w:rsid w:val="0090340A"/>
    <w:rsid w:val="00907D4E"/>
    <w:rsid w:val="00911736"/>
    <w:rsid w:val="009123CE"/>
    <w:rsid w:val="00917B2D"/>
    <w:rsid w:val="0092217D"/>
    <w:rsid w:val="009261B7"/>
    <w:rsid w:val="00931C15"/>
    <w:rsid w:val="009326CB"/>
    <w:rsid w:val="00932FCD"/>
    <w:rsid w:val="00935405"/>
    <w:rsid w:val="00937CC1"/>
    <w:rsid w:val="00943476"/>
    <w:rsid w:val="00950E0C"/>
    <w:rsid w:val="00962DD6"/>
    <w:rsid w:val="0096739B"/>
    <w:rsid w:val="00972AD8"/>
    <w:rsid w:val="00975532"/>
    <w:rsid w:val="009758C7"/>
    <w:rsid w:val="0097663A"/>
    <w:rsid w:val="0098019C"/>
    <w:rsid w:val="009804F2"/>
    <w:rsid w:val="009813D6"/>
    <w:rsid w:val="00991706"/>
    <w:rsid w:val="009939AE"/>
    <w:rsid w:val="009A048A"/>
    <w:rsid w:val="009A31C9"/>
    <w:rsid w:val="009A33A1"/>
    <w:rsid w:val="009A688D"/>
    <w:rsid w:val="009A7B22"/>
    <w:rsid w:val="009B4D9A"/>
    <w:rsid w:val="009B757D"/>
    <w:rsid w:val="009C6BD2"/>
    <w:rsid w:val="009C7131"/>
    <w:rsid w:val="009C71AA"/>
    <w:rsid w:val="009D0479"/>
    <w:rsid w:val="009D107E"/>
    <w:rsid w:val="009D18FD"/>
    <w:rsid w:val="009D1BD0"/>
    <w:rsid w:val="009E3CF8"/>
    <w:rsid w:val="009E4A15"/>
    <w:rsid w:val="009E4E3F"/>
    <w:rsid w:val="009E6CAE"/>
    <w:rsid w:val="009E6E8B"/>
    <w:rsid w:val="009E755B"/>
    <w:rsid w:val="009F010D"/>
    <w:rsid w:val="009F555D"/>
    <w:rsid w:val="00A04F38"/>
    <w:rsid w:val="00A06C39"/>
    <w:rsid w:val="00A07A0C"/>
    <w:rsid w:val="00A07B78"/>
    <w:rsid w:val="00A11A0F"/>
    <w:rsid w:val="00A20D66"/>
    <w:rsid w:val="00A344E0"/>
    <w:rsid w:val="00A37E02"/>
    <w:rsid w:val="00A40D29"/>
    <w:rsid w:val="00A476BF"/>
    <w:rsid w:val="00A476F7"/>
    <w:rsid w:val="00A52B4B"/>
    <w:rsid w:val="00A54F6A"/>
    <w:rsid w:val="00A575C7"/>
    <w:rsid w:val="00A60349"/>
    <w:rsid w:val="00A620C2"/>
    <w:rsid w:val="00A62A34"/>
    <w:rsid w:val="00A62D8A"/>
    <w:rsid w:val="00A637DC"/>
    <w:rsid w:val="00A6516A"/>
    <w:rsid w:val="00A67BE5"/>
    <w:rsid w:val="00A745DD"/>
    <w:rsid w:val="00A751EF"/>
    <w:rsid w:val="00A76BE6"/>
    <w:rsid w:val="00A76D22"/>
    <w:rsid w:val="00A8353F"/>
    <w:rsid w:val="00A84C36"/>
    <w:rsid w:val="00A853CF"/>
    <w:rsid w:val="00A900CC"/>
    <w:rsid w:val="00A9187C"/>
    <w:rsid w:val="00AA22CE"/>
    <w:rsid w:val="00AB2D5E"/>
    <w:rsid w:val="00AC2105"/>
    <w:rsid w:val="00AD0E0B"/>
    <w:rsid w:val="00AD7907"/>
    <w:rsid w:val="00AD7EA9"/>
    <w:rsid w:val="00AE0097"/>
    <w:rsid w:val="00AE059F"/>
    <w:rsid w:val="00AE2437"/>
    <w:rsid w:val="00AF0084"/>
    <w:rsid w:val="00AF5BED"/>
    <w:rsid w:val="00AF78CA"/>
    <w:rsid w:val="00B12890"/>
    <w:rsid w:val="00B2623E"/>
    <w:rsid w:val="00B42858"/>
    <w:rsid w:val="00B44C59"/>
    <w:rsid w:val="00B530F3"/>
    <w:rsid w:val="00B532CD"/>
    <w:rsid w:val="00B54016"/>
    <w:rsid w:val="00B607A3"/>
    <w:rsid w:val="00B60907"/>
    <w:rsid w:val="00B72996"/>
    <w:rsid w:val="00B760D9"/>
    <w:rsid w:val="00B8105C"/>
    <w:rsid w:val="00B81311"/>
    <w:rsid w:val="00B8307D"/>
    <w:rsid w:val="00B841AB"/>
    <w:rsid w:val="00B97E95"/>
    <w:rsid w:val="00BA5097"/>
    <w:rsid w:val="00BA5569"/>
    <w:rsid w:val="00BB0B8A"/>
    <w:rsid w:val="00BB0E42"/>
    <w:rsid w:val="00BB53CE"/>
    <w:rsid w:val="00BB7472"/>
    <w:rsid w:val="00BB7976"/>
    <w:rsid w:val="00BC1DB1"/>
    <w:rsid w:val="00BD19E7"/>
    <w:rsid w:val="00BD4F4A"/>
    <w:rsid w:val="00BD797D"/>
    <w:rsid w:val="00BE17CD"/>
    <w:rsid w:val="00BF2265"/>
    <w:rsid w:val="00BF2B31"/>
    <w:rsid w:val="00BF48BF"/>
    <w:rsid w:val="00C02482"/>
    <w:rsid w:val="00C06860"/>
    <w:rsid w:val="00C140A1"/>
    <w:rsid w:val="00C14A0F"/>
    <w:rsid w:val="00C21FB9"/>
    <w:rsid w:val="00C33590"/>
    <w:rsid w:val="00C3460D"/>
    <w:rsid w:val="00C41CA7"/>
    <w:rsid w:val="00C47332"/>
    <w:rsid w:val="00C50227"/>
    <w:rsid w:val="00C50D73"/>
    <w:rsid w:val="00C52269"/>
    <w:rsid w:val="00C5229C"/>
    <w:rsid w:val="00C543B1"/>
    <w:rsid w:val="00C5549A"/>
    <w:rsid w:val="00C63A6A"/>
    <w:rsid w:val="00C6630E"/>
    <w:rsid w:val="00C749CD"/>
    <w:rsid w:val="00C74BFE"/>
    <w:rsid w:val="00C760D6"/>
    <w:rsid w:val="00C86115"/>
    <w:rsid w:val="00C924EB"/>
    <w:rsid w:val="00CA0B92"/>
    <w:rsid w:val="00CA18A9"/>
    <w:rsid w:val="00CA2961"/>
    <w:rsid w:val="00CA2BBE"/>
    <w:rsid w:val="00CB0568"/>
    <w:rsid w:val="00CB2590"/>
    <w:rsid w:val="00CB446C"/>
    <w:rsid w:val="00CB55C2"/>
    <w:rsid w:val="00CB6236"/>
    <w:rsid w:val="00CB7291"/>
    <w:rsid w:val="00CC00E1"/>
    <w:rsid w:val="00CC78CF"/>
    <w:rsid w:val="00CD2F32"/>
    <w:rsid w:val="00CD4A03"/>
    <w:rsid w:val="00CD5463"/>
    <w:rsid w:val="00CD60B2"/>
    <w:rsid w:val="00CD76BE"/>
    <w:rsid w:val="00CF0E4C"/>
    <w:rsid w:val="00CF4F01"/>
    <w:rsid w:val="00CF6135"/>
    <w:rsid w:val="00D10926"/>
    <w:rsid w:val="00D14884"/>
    <w:rsid w:val="00D163C4"/>
    <w:rsid w:val="00D2293D"/>
    <w:rsid w:val="00D22CEF"/>
    <w:rsid w:val="00D23324"/>
    <w:rsid w:val="00D23AA8"/>
    <w:rsid w:val="00D26EB7"/>
    <w:rsid w:val="00D32446"/>
    <w:rsid w:val="00D33C26"/>
    <w:rsid w:val="00D33CFE"/>
    <w:rsid w:val="00D463DE"/>
    <w:rsid w:val="00D464A8"/>
    <w:rsid w:val="00D56B78"/>
    <w:rsid w:val="00D56FFE"/>
    <w:rsid w:val="00D57237"/>
    <w:rsid w:val="00D608D3"/>
    <w:rsid w:val="00D60E2B"/>
    <w:rsid w:val="00D63D9F"/>
    <w:rsid w:val="00D64EA6"/>
    <w:rsid w:val="00D671C4"/>
    <w:rsid w:val="00D77843"/>
    <w:rsid w:val="00D839CE"/>
    <w:rsid w:val="00D91545"/>
    <w:rsid w:val="00D93BCD"/>
    <w:rsid w:val="00D95BA1"/>
    <w:rsid w:val="00DA707E"/>
    <w:rsid w:val="00DB3E52"/>
    <w:rsid w:val="00DB55BB"/>
    <w:rsid w:val="00DB5796"/>
    <w:rsid w:val="00DD056F"/>
    <w:rsid w:val="00DD2A4A"/>
    <w:rsid w:val="00DE0B0A"/>
    <w:rsid w:val="00DE1480"/>
    <w:rsid w:val="00DE72AE"/>
    <w:rsid w:val="00DF45CA"/>
    <w:rsid w:val="00E00551"/>
    <w:rsid w:val="00E014C1"/>
    <w:rsid w:val="00E04A3F"/>
    <w:rsid w:val="00E05F28"/>
    <w:rsid w:val="00E1293B"/>
    <w:rsid w:val="00E16BAA"/>
    <w:rsid w:val="00E17F4A"/>
    <w:rsid w:val="00E20DC9"/>
    <w:rsid w:val="00E24F05"/>
    <w:rsid w:val="00E2795D"/>
    <w:rsid w:val="00E31393"/>
    <w:rsid w:val="00E3212E"/>
    <w:rsid w:val="00E4187F"/>
    <w:rsid w:val="00E4273C"/>
    <w:rsid w:val="00E44A85"/>
    <w:rsid w:val="00E44F22"/>
    <w:rsid w:val="00E537B6"/>
    <w:rsid w:val="00E557C4"/>
    <w:rsid w:val="00E5687D"/>
    <w:rsid w:val="00E57263"/>
    <w:rsid w:val="00E63A0B"/>
    <w:rsid w:val="00E64621"/>
    <w:rsid w:val="00E665F0"/>
    <w:rsid w:val="00E82214"/>
    <w:rsid w:val="00E8466A"/>
    <w:rsid w:val="00E915B9"/>
    <w:rsid w:val="00E92454"/>
    <w:rsid w:val="00EA0A99"/>
    <w:rsid w:val="00EA178F"/>
    <w:rsid w:val="00EA5FAE"/>
    <w:rsid w:val="00EB12AB"/>
    <w:rsid w:val="00EB1305"/>
    <w:rsid w:val="00EB1525"/>
    <w:rsid w:val="00EB2E88"/>
    <w:rsid w:val="00ED0CD9"/>
    <w:rsid w:val="00ED40C1"/>
    <w:rsid w:val="00ED63F2"/>
    <w:rsid w:val="00ED677F"/>
    <w:rsid w:val="00ED7545"/>
    <w:rsid w:val="00EE0974"/>
    <w:rsid w:val="00EE14AB"/>
    <w:rsid w:val="00EE7CD7"/>
    <w:rsid w:val="00EF79A8"/>
    <w:rsid w:val="00F12436"/>
    <w:rsid w:val="00F12E13"/>
    <w:rsid w:val="00F20BC9"/>
    <w:rsid w:val="00F230CB"/>
    <w:rsid w:val="00F23D1D"/>
    <w:rsid w:val="00F3083E"/>
    <w:rsid w:val="00F30F2B"/>
    <w:rsid w:val="00F35D30"/>
    <w:rsid w:val="00F37956"/>
    <w:rsid w:val="00F43165"/>
    <w:rsid w:val="00F51EEF"/>
    <w:rsid w:val="00F520DB"/>
    <w:rsid w:val="00F55FBC"/>
    <w:rsid w:val="00F70174"/>
    <w:rsid w:val="00F7305F"/>
    <w:rsid w:val="00F8100E"/>
    <w:rsid w:val="00F824E2"/>
    <w:rsid w:val="00F82A25"/>
    <w:rsid w:val="00F8311B"/>
    <w:rsid w:val="00F90230"/>
    <w:rsid w:val="00F913BA"/>
    <w:rsid w:val="00F94FAF"/>
    <w:rsid w:val="00F964C9"/>
    <w:rsid w:val="00FA712D"/>
    <w:rsid w:val="00FB0187"/>
    <w:rsid w:val="00FB07CC"/>
    <w:rsid w:val="00FB2B23"/>
    <w:rsid w:val="00FB6E0E"/>
    <w:rsid w:val="00FC1182"/>
    <w:rsid w:val="00FC229F"/>
    <w:rsid w:val="00FC3D77"/>
    <w:rsid w:val="00FD15ED"/>
    <w:rsid w:val="00FD698C"/>
    <w:rsid w:val="00FD6A9A"/>
    <w:rsid w:val="00FD7C11"/>
    <w:rsid w:val="00FD7C95"/>
    <w:rsid w:val="00FE2738"/>
    <w:rsid w:val="00FE7E3D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6F3A2"/>
  <w15:docId w15:val="{9C8A6F83-45A5-43ED-925E-484CB85C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33FB"/>
    <w:rPr>
      <w:rFonts w:eastAsia="Times New Roman"/>
      <w:lang w:eastAsia="en-US"/>
    </w:rPr>
  </w:style>
  <w:style w:type="paragraph" w:styleId="Nadpis1">
    <w:name w:val="heading 1"/>
    <w:basedOn w:val="Normlny"/>
    <w:next w:val="Normlny"/>
    <w:qFormat/>
    <w:rsid w:val="00710C2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733FB"/>
    <w:pPr>
      <w:tabs>
        <w:tab w:val="center" w:pos="4153"/>
        <w:tab w:val="right" w:pos="8306"/>
      </w:tabs>
    </w:pPr>
  </w:style>
  <w:style w:type="table" w:styleId="Mriekatabuky">
    <w:name w:val="Table Grid"/>
    <w:basedOn w:val="Normlnatabuka"/>
    <w:rsid w:val="007733FB"/>
    <w:rPr>
      <w:rFonts w:eastAsia="Times New Roman"/>
      <w:lang w:val="cs-CZ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71577C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71577C"/>
    <w:rPr>
      <w:sz w:val="16"/>
      <w:szCs w:val="16"/>
    </w:rPr>
  </w:style>
  <w:style w:type="paragraph" w:styleId="Textkomentra">
    <w:name w:val="annotation text"/>
    <w:basedOn w:val="Normlny"/>
    <w:semiHidden/>
    <w:rsid w:val="0071577C"/>
  </w:style>
  <w:style w:type="paragraph" w:styleId="Predmetkomentra">
    <w:name w:val="annotation subject"/>
    <w:basedOn w:val="Textkomentra"/>
    <w:next w:val="Textkomentra"/>
    <w:semiHidden/>
    <w:rsid w:val="0071577C"/>
    <w:rPr>
      <w:b/>
      <w:bCs/>
    </w:rPr>
  </w:style>
  <w:style w:type="character" w:customStyle="1" w:styleId="hps">
    <w:name w:val="hps"/>
    <w:basedOn w:val="Predvolenpsmoodseku"/>
    <w:rsid w:val="008F257B"/>
  </w:style>
  <w:style w:type="character" w:customStyle="1" w:styleId="atn">
    <w:name w:val="atn"/>
    <w:basedOn w:val="Predvolenpsmoodseku"/>
    <w:rsid w:val="008F257B"/>
  </w:style>
  <w:style w:type="character" w:customStyle="1" w:styleId="gt-icon-text1">
    <w:name w:val="gt-icon-text1"/>
    <w:basedOn w:val="Predvolenpsmoodseku"/>
    <w:rsid w:val="008F257B"/>
  </w:style>
  <w:style w:type="paragraph" w:styleId="Nzov">
    <w:name w:val="Title"/>
    <w:basedOn w:val="Normlny"/>
    <w:next w:val="Normlny"/>
    <w:link w:val="NzovChar"/>
    <w:qFormat/>
    <w:rsid w:val="001A5D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A5D69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styleId="Zvraznenie">
    <w:name w:val="Emphasis"/>
    <w:basedOn w:val="Predvolenpsmoodseku"/>
    <w:qFormat/>
    <w:rsid w:val="00B54016"/>
    <w:rPr>
      <w:i/>
      <w:iCs/>
    </w:rPr>
  </w:style>
  <w:style w:type="paragraph" w:styleId="Pta">
    <w:name w:val="footer"/>
    <w:basedOn w:val="Normlny"/>
    <w:link w:val="PtaChar"/>
    <w:semiHidden/>
    <w:unhideWhenUsed/>
    <w:rsid w:val="006906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690695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1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807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6607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1387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75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43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8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eu.jllnet.com\SKShare$\Office\BRF\2019\Q2\2Q_2019_BRF_FINAL_FIN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eu.jllnet.com\SKShare$\Office\BRF\2019\Q2\2Q_2019_BRF_FINAL_FINA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k-fs01\CIS\Business%20Projects\BRF\2019\Q3\3Q_2019_BRF_fina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[2Q_2019_BRF_FINAL_FINAL.xlsx]Grafy!PivotTable10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2.4603160844329452E-2"/>
              <c:y val="-0.1004338568763857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8.0119506339771246E-2"/>
              <c:y val="-6.690561529271206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6.6766255283142839E-2"/>
              <c:y val="8.602150537634409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8.3457819103928535E-2"/>
              <c:y val="-1.911589008363201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6751316990671416E-2"/>
              <c:y val="-7.646356033452811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8.0119506339771246E-2"/>
              <c:y val="-6.690561529271206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6.6766255283142839E-2"/>
              <c:y val="8.602150537634409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8.3457819103928535E-2"/>
              <c:y val="-1.911589008363201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6751316990671416E-2"/>
              <c:y val="-7.646356033452811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2.4603160844329452E-2"/>
              <c:y val="-0.1004338568763857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8.0119506339771246E-2"/>
              <c:y val="-6.690561529271206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6.6766255283142839E-2"/>
              <c:y val="8.602150537634409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8.3457819103928535E-2"/>
              <c:y val="-1.911589008363201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6751316990671416E-2"/>
              <c:y val="-7.646356033452811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2.4603160844329452E-2"/>
              <c:y val="-0.1004338568763857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doughnutChart>
        <c:varyColors val="1"/>
        <c:ser>
          <c:idx val="0"/>
          <c:order val="0"/>
          <c:tx>
            <c:strRef>
              <c:f>Grafy!$C$24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12B-42CF-9CDE-85F1ADA0888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12B-42CF-9CDE-85F1ADA0888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12B-42CF-9CDE-85F1ADA0888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12B-42CF-9CDE-85F1ADA0888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12B-42CF-9CDE-85F1ADA08885}"/>
              </c:ext>
            </c:extLst>
          </c:dPt>
          <c:dLbls>
            <c:dLbl>
              <c:idx val="0"/>
              <c:layout>
                <c:manualLayout>
                  <c:x val="8.0119506339771246E-2"/>
                  <c:y val="-6.69056152927120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12B-42CF-9CDE-85F1ADA08885}"/>
                </c:ext>
              </c:extLst>
            </c:dLbl>
            <c:dLbl>
              <c:idx val="1"/>
              <c:layout>
                <c:manualLayout>
                  <c:x val="-6.6766255283142839E-2"/>
                  <c:y val="8.6021505376344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12B-42CF-9CDE-85F1ADA08885}"/>
                </c:ext>
              </c:extLst>
            </c:dLbl>
            <c:dLbl>
              <c:idx val="2"/>
              <c:layout>
                <c:manualLayout>
                  <c:x val="-8.3457819103928535E-2"/>
                  <c:y val="-1.9115890083632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12B-42CF-9CDE-85F1ADA08885}"/>
                </c:ext>
              </c:extLst>
            </c:dLbl>
            <c:dLbl>
              <c:idx val="3"/>
              <c:layout>
                <c:manualLayout>
                  <c:x val="-5.6751316990671416E-2"/>
                  <c:y val="-7.6463560334528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12B-42CF-9CDE-85F1ADA08885}"/>
                </c:ext>
              </c:extLst>
            </c:dLbl>
            <c:dLbl>
              <c:idx val="4"/>
              <c:layout>
                <c:manualLayout>
                  <c:x val="-2.4603160844329452E-2"/>
                  <c:y val="-0.100433856876385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12B-42CF-9CDE-85F1ADA088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Grafy!$B$25:$B$30</c:f>
              <c:strCache>
                <c:ptCount val="5"/>
                <c:pt idx="0">
                  <c:v>BA I</c:v>
                </c:pt>
                <c:pt idx="1">
                  <c:v>BA II</c:v>
                </c:pt>
                <c:pt idx="2">
                  <c:v>BA III</c:v>
                </c:pt>
                <c:pt idx="3">
                  <c:v>BA IV</c:v>
                </c:pt>
                <c:pt idx="4">
                  <c:v>BA V</c:v>
                </c:pt>
              </c:strCache>
            </c:strRef>
          </c:cat>
          <c:val>
            <c:numRef>
              <c:f>Grafy!$C$25:$C$30</c:f>
              <c:numCache>
                <c:formatCode>0%</c:formatCode>
                <c:ptCount val="5"/>
                <c:pt idx="0">
                  <c:v>0.37307098287901358</c:v>
                </c:pt>
                <c:pt idx="1">
                  <c:v>0.34781940986629356</c:v>
                </c:pt>
                <c:pt idx="2">
                  <c:v>0.10324481410034805</c:v>
                </c:pt>
                <c:pt idx="3">
                  <c:v>6.2276665740819505E-2</c:v>
                </c:pt>
                <c:pt idx="4">
                  <c:v>0.11358812741352531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12B-42CF-9CDE-85F1ADA0888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sk-SK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[2Q_2019_BRF_FINAL_FINAL.xlsx]Grafy!PivotTable11</c:name>
    <c:fmtId val="-1"/>
  </c:pivotSource>
  <c:chart>
    <c:autoTitleDeleted val="1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6.5939400652384697E-2"/>
              <c:y val="8.83377423162130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6.86868756795673E-2"/>
              <c:y val="-4.41688711581065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494950054365394E-2"/>
              <c:y val="-6.826098269889191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6.86868756795673E-2"/>
              <c:y val="-4.41688711581065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6.5939400652384697E-2"/>
              <c:y val="8.83377423162130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494950054365394E-2"/>
              <c:y val="-6.826098269889191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6.86868756795673E-2"/>
              <c:y val="-4.41688711581065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6.5939400652384697E-2"/>
              <c:y val="8.83377423162130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494950054365394E-2"/>
              <c:y val="-6.826098269889191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doughnutChart>
        <c:varyColors val="1"/>
        <c:ser>
          <c:idx val="0"/>
          <c:order val="0"/>
          <c:tx>
            <c:strRef>
              <c:f>Grafy!$H$24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1DA-4975-9458-2E37F3C5312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1DA-4975-9458-2E37F3C5312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1DA-4975-9458-2E37F3C5312A}"/>
              </c:ext>
            </c:extLst>
          </c:dPt>
          <c:dLbls>
            <c:dLbl>
              <c:idx val="0"/>
              <c:layout>
                <c:manualLayout>
                  <c:x val="6.86868756795673E-2"/>
                  <c:y val="-4.4168871158106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DA-4975-9458-2E37F3C5312A}"/>
                </c:ext>
              </c:extLst>
            </c:dLbl>
            <c:dLbl>
              <c:idx val="1"/>
              <c:layout>
                <c:manualLayout>
                  <c:x val="-6.5939400652384697E-2"/>
                  <c:y val="8.833774231621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1DA-4975-9458-2E37F3C5312A}"/>
                </c:ext>
              </c:extLst>
            </c:dLbl>
            <c:dLbl>
              <c:idx val="2"/>
              <c:layout>
                <c:manualLayout>
                  <c:x val="-5.494950054365394E-2"/>
                  <c:y val="-6.8260982698891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1DA-4975-9458-2E37F3C531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Grafy!$G$25:$G$28</c:f>
              <c:strCache>
                <c:ptCount val="3"/>
                <c:pt idx="0">
                  <c:v>CC</c:v>
                </c:pt>
                <c:pt idx="1">
                  <c:v>IC</c:v>
                </c:pt>
                <c:pt idx="2">
                  <c:v>OC</c:v>
                </c:pt>
              </c:strCache>
            </c:strRef>
          </c:cat>
          <c:val>
            <c:numRef>
              <c:f>Grafy!$H$25:$H$28</c:f>
              <c:numCache>
                <c:formatCode>0%</c:formatCode>
                <c:ptCount val="3"/>
                <c:pt idx="0">
                  <c:v>0.34244450551552774</c:v>
                </c:pt>
                <c:pt idx="1">
                  <c:v>0.41640859523314488</c:v>
                </c:pt>
                <c:pt idx="2">
                  <c:v>0.24114689925132726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1DA-4975-9458-2E37F3C5312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sk-SK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[3Q_2019_BRF_final.xlsx]Vysledky!PivotTable7</c:name>
    <c:fmtId val="-1"/>
  </c:pivotSource>
  <c:chart>
    <c:autoTitleDeleted val="1"/>
    <c:pivotFmts>
      <c:pivotFmt>
        <c:idx val="0"/>
      </c:pivotFmt>
      <c:pivotFmt>
        <c:idx val="1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9.5904879359959526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-3.6454479334661481E-4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6.3776365303734621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rgbClr val="FF0000"/>
          </a:solidFill>
          <a:ln>
            <a:noFill/>
          </a:ln>
          <a:effectLst/>
        </c:spPr>
        <c:dLbl>
          <c:idx val="0"/>
          <c:layout>
            <c:manualLayout>
              <c:x val="-3.457448665261441E-17"/>
              <c:y val="3.1647851247509134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4.5425165227840495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5.8876134459096225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6.3776365303734621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-4.8066280871635368E-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rgbClr val="FF0000"/>
          </a:solidFill>
          <a:ln>
            <a:noFill/>
          </a:ln>
          <a:effectLst/>
        </c:spPr>
        <c:dLbl>
          <c:idx val="0"/>
          <c:layout>
            <c:manualLayout>
              <c:x val="0"/>
              <c:y val="3.1647851247509134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rgbClr val="002060"/>
          </a:solidFill>
          <a:ln>
            <a:noFill/>
          </a:ln>
          <a:effectLst/>
        </c:spPr>
      </c:pivotFmt>
      <c:pivotFmt>
        <c:idx val="12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-3.2609176864939488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9.5904879359959526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-3.6454479334661481E-4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6.3776365303734621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rgbClr val="FF0000"/>
          </a:solidFill>
          <a:ln>
            <a:noFill/>
          </a:ln>
          <a:effectLst/>
        </c:spPr>
        <c:dLbl>
          <c:idx val="0"/>
          <c:layout>
            <c:manualLayout>
              <c:x val="-3.457448665261441E-17"/>
              <c:y val="3.1647851247509134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4.5425165227840495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5.8876134459096225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6.3776365303734621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-4.8066280871635368E-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rgbClr val="FF0000"/>
          </a:solidFill>
          <a:ln>
            <a:noFill/>
          </a:ln>
          <a:effectLst/>
        </c:spPr>
        <c:dLbl>
          <c:idx val="0"/>
          <c:layout>
            <c:manualLayout>
              <c:x val="0"/>
              <c:y val="3.1647851247509134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rgbClr val="002060"/>
          </a:solidFill>
          <a:ln>
            <a:noFill/>
          </a:ln>
          <a:effectLst/>
        </c:spPr>
      </c:pivotFmt>
      <c:pivotFmt>
        <c:idx val="24"/>
        <c:spPr>
          <a:gradFill rotWithShape="1">
            <a:gsLst>
              <a:gs pos="0">
                <a:schemeClr val="accent1">
                  <a:satMod val="103000"/>
                  <a:lumMod val="102000"/>
                  <a:tint val="94000"/>
                </a:schemeClr>
              </a:gs>
              <a:gs pos="50000">
                <a:schemeClr val="accent1">
                  <a:satMod val="110000"/>
                  <a:lumMod val="100000"/>
                  <a:shade val="100000"/>
                </a:schemeClr>
              </a:gs>
              <a:gs pos="100000">
                <a:schemeClr val="accent1">
                  <a:lumMod val="99000"/>
                  <a:satMod val="120000"/>
                  <a:shade val="78000"/>
                </a:schemeClr>
              </a:gs>
            </a:gsLst>
            <a:lin ang="5400000" scaled="0"/>
          </a:gra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9.5904879359959526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-3.6454479334661481E-4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6.3776365303734621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spPr>
          <a:solidFill>
            <a:srgbClr val="FF0000"/>
          </a:solidFill>
          <a:ln>
            <a:noFill/>
          </a:ln>
          <a:effectLst/>
        </c:spPr>
        <c:dLbl>
          <c:idx val="0"/>
          <c:layout>
            <c:manualLayout>
              <c:x val="-3.457448665261441E-17"/>
              <c:y val="3.1647851247509134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4.5425165227840495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5.8876134459096225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6.3776365303734621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rgbClr val="002060"/>
          </a:solidFill>
          <a:ln>
            <a:noFill/>
          </a:ln>
          <a:effectLst/>
        </c:spPr>
        <c:dLbl>
          <c:idx val="0"/>
          <c:layout>
            <c:manualLayout>
              <c:x val="0"/>
              <c:y val="-4.8066280871635368E-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spPr>
          <a:solidFill>
            <a:srgbClr val="FF0000"/>
          </a:solidFill>
          <a:ln>
            <a:noFill/>
          </a:ln>
          <a:effectLst/>
        </c:spPr>
        <c:dLbl>
          <c:idx val="0"/>
          <c:layout>
            <c:manualLayout>
              <c:x val="0"/>
              <c:y val="3.1647851247509134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sk-SK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spPr>
          <a:solidFill>
            <a:srgbClr val="002060"/>
          </a:solidFill>
          <a:ln>
            <a:noFill/>
          </a:ln>
          <a:effectLst/>
        </c:spPr>
      </c:pivotFmt>
    </c:pivotFmts>
    <c:plotArea>
      <c:layout>
        <c:manualLayout>
          <c:layoutTarget val="inner"/>
          <c:xMode val="edge"/>
          <c:yMode val="edge"/>
          <c:x val="4.9802085550117045E-2"/>
          <c:y val="0.17506620375711149"/>
          <c:w val="0.93217989643186494"/>
          <c:h val="0.526038428481807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Vysledky!$B$84</c:f>
              <c:strCache>
                <c:ptCount val="1"/>
                <c:pt idx="0">
                  <c:v>Celková hodnota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644-4BA6-A650-15641314349B}"/>
              </c:ext>
            </c:extLst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644-4BA6-A650-15641314349B}"/>
              </c:ext>
            </c:extLst>
          </c:dPt>
          <c:dPt>
            <c:idx val="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644-4BA6-A650-15641314349B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644-4BA6-A650-15641314349B}"/>
              </c:ext>
            </c:extLst>
          </c:dPt>
          <c:dPt>
            <c:idx val="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E644-4BA6-A650-15641314349B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E644-4BA6-A650-15641314349B}"/>
              </c:ext>
            </c:extLst>
          </c:dPt>
          <c:dPt>
            <c:idx val="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E644-4BA6-A650-15641314349B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E644-4BA6-A650-15641314349B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E644-4BA6-A650-15641314349B}"/>
              </c:ext>
            </c:extLst>
          </c:dPt>
          <c:dPt>
            <c:idx val="9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E644-4BA6-A650-15641314349B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E644-4BA6-A650-15641314349B}"/>
              </c:ext>
            </c:extLst>
          </c:dPt>
          <c:dLbls>
            <c:dLbl>
              <c:idx val="0"/>
              <c:layout>
                <c:manualLayout>
                  <c:x val="0"/>
                  <c:y val="9.590487935995952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44-4BA6-A650-15641314349B}"/>
                </c:ext>
              </c:extLst>
            </c:dLbl>
            <c:dLbl>
              <c:idx val="1"/>
              <c:layout>
                <c:manualLayout>
                  <c:x val="0"/>
                  <c:y val="-3.645447933466148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44-4BA6-A650-15641314349B}"/>
                </c:ext>
              </c:extLst>
            </c:dLbl>
            <c:dLbl>
              <c:idx val="2"/>
              <c:layout>
                <c:manualLayout>
                  <c:x val="0"/>
                  <c:y val="6.37763653037346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44-4BA6-A650-15641314349B}"/>
                </c:ext>
              </c:extLst>
            </c:dLbl>
            <c:dLbl>
              <c:idx val="3"/>
              <c:layout>
                <c:manualLayout>
                  <c:x val="-3.457448665261441E-17"/>
                  <c:y val="3.164785124750913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644-4BA6-A650-15641314349B}"/>
                </c:ext>
              </c:extLst>
            </c:dLbl>
            <c:dLbl>
              <c:idx val="4"/>
              <c:layout>
                <c:manualLayout>
                  <c:x val="0"/>
                  <c:y val="4.542516522784049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644-4BA6-A650-15641314349B}"/>
                </c:ext>
              </c:extLst>
            </c:dLbl>
            <c:dLbl>
              <c:idx val="5"/>
              <c:layout>
                <c:manualLayout>
                  <c:x val="0"/>
                  <c:y val="5.887613445909622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644-4BA6-A650-15641314349B}"/>
                </c:ext>
              </c:extLst>
            </c:dLbl>
            <c:dLbl>
              <c:idx val="6"/>
              <c:layout>
                <c:manualLayout>
                  <c:x val="0"/>
                  <c:y val="6.37763653037346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644-4BA6-A650-15641314349B}"/>
                </c:ext>
              </c:extLst>
            </c:dLbl>
            <c:dLbl>
              <c:idx val="7"/>
              <c:layout>
                <c:manualLayout>
                  <c:x val="0"/>
                  <c:y val="-4.8066280871635368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644-4BA6-A650-15641314349B}"/>
                </c:ext>
              </c:extLst>
            </c:dLbl>
            <c:dLbl>
              <c:idx val="8"/>
              <c:layout>
                <c:manualLayout>
                  <c:x val="0"/>
                  <c:y val="3.164785124750913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644-4BA6-A650-1564131434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Vysledky!$A$85:$A$95</c:f>
              <c:strCache>
                <c:ptCount val="10"/>
                <c:pt idx="0">
                  <c:v>Adv/Media</c:v>
                </c:pt>
                <c:pt idx="1">
                  <c:v>Consumer Goods</c:v>
                </c:pt>
                <c:pt idx="2">
                  <c:v>Finance/
Banking/
Insurance</c:v>
                </c:pt>
                <c:pt idx="3">
                  <c:v>IT</c:v>
                </c:pt>
                <c:pt idx="4">
                  <c:v>Legal</c:v>
                </c:pt>
                <c:pt idx="5">
                  <c:v>Manufacturing/
Construction</c:v>
                </c:pt>
                <c:pt idx="6">
                  <c:v>Other</c:v>
                </c:pt>
                <c:pt idx="7">
                  <c:v>Pharma/Medical</c:v>
                </c:pt>
                <c:pt idx="8">
                  <c:v>Prof. services</c:v>
                </c:pt>
                <c:pt idx="9">
                  <c:v>Public/Embassy/Trade Council/Diplomatic </c:v>
                </c:pt>
              </c:strCache>
            </c:strRef>
          </c:cat>
          <c:val>
            <c:numRef>
              <c:f>Vysledky!$B$85:$B$95</c:f>
              <c:numCache>
                <c:formatCode>0%</c:formatCode>
                <c:ptCount val="10"/>
                <c:pt idx="0">
                  <c:v>7.971450037565738E-4</c:v>
                </c:pt>
                <c:pt idx="1">
                  <c:v>1.2246431254695716E-2</c:v>
                </c:pt>
                <c:pt idx="2">
                  <c:v>5.0655897821187075E-2</c:v>
                </c:pt>
                <c:pt idx="3">
                  <c:v>0.25522614575507135</c:v>
                </c:pt>
                <c:pt idx="4">
                  <c:v>1.8098797896318557E-2</c:v>
                </c:pt>
                <c:pt idx="5">
                  <c:v>0.10832832456799396</c:v>
                </c:pt>
                <c:pt idx="6">
                  <c:v>3.8941397445529678E-2</c:v>
                </c:pt>
                <c:pt idx="7">
                  <c:v>3.7247558226897064E-2</c:v>
                </c:pt>
                <c:pt idx="8">
                  <c:v>0.2776994740796393</c:v>
                </c:pt>
                <c:pt idx="9">
                  <c:v>0.20075882794891056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E644-4BA6-A650-15641314349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05334192"/>
        <c:axId val="205335760"/>
      </c:barChart>
      <c:catAx>
        <c:axId val="205334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205335760"/>
        <c:crosses val="autoZero"/>
        <c:auto val="1"/>
        <c:lblAlgn val="ctr"/>
        <c:lblOffset val="100"/>
        <c:noMultiLvlLbl val="0"/>
      </c:catAx>
      <c:valAx>
        <c:axId val="205335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205334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BA583-F495-412C-A4AD-9741EBE8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5302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2Q 2014</vt:lpstr>
      <vt:lpstr>2Q 2014</vt:lpstr>
    </vt:vector>
  </TitlesOfParts>
  <Company>Colliers International, spol. s r.o.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2019</dc:title>
  <dc:subject>Cushman&amp;Wakefield</dc:subject>
  <dc:creator>Bratislava Research Forum</dc:creator>
  <cp:keywords/>
  <dc:description/>
  <cp:lastModifiedBy>Mikula, Andrej</cp:lastModifiedBy>
  <cp:revision>5</cp:revision>
  <cp:lastPrinted>2017-07-14T14:01:00Z</cp:lastPrinted>
  <dcterms:created xsi:type="dcterms:W3CDTF">2019-10-24T15:59:00Z</dcterms:created>
  <dcterms:modified xsi:type="dcterms:W3CDTF">2019-10-28T09:25:00Z</dcterms:modified>
</cp:coreProperties>
</file>